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26276" w14:textId="6563C489" w:rsidR="00E83508" w:rsidRPr="00812A7A" w:rsidRDefault="0031127A" w:rsidP="00F36160">
      <w:pPr>
        <w:jc w:val="center"/>
      </w:pPr>
      <w:r w:rsidRPr="00812A7A">
        <w:rPr>
          <w:noProof/>
        </w:rPr>
        <w:drawing>
          <wp:anchor distT="0" distB="0" distL="114300" distR="114300" simplePos="0" relativeHeight="251658244" behindDoc="0" locked="0" layoutInCell="1" allowOverlap="1" wp14:anchorId="2DEDE611" wp14:editId="1B852E05">
            <wp:simplePos x="0" y="0"/>
            <wp:positionH relativeFrom="margin">
              <wp:posOffset>0</wp:posOffset>
            </wp:positionH>
            <wp:positionV relativeFrom="paragraph">
              <wp:posOffset>-9525</wp:posOffset>
            </wp:positionV>
            <wp:extent cx="1971675" cy="428625"/>
            <wp:effectExtent l="0" t="0" r="9525" b="9525"/>
            <wp:wrapNone/>
            <wp:docPr id="5" name="Picture 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-White-V1_bi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D4C" w:rsidRPr="00812A7A">
        <w:rPr>
          <w:noProof/>
        </w:rPr>
        <w:drawing>
          <wp:anchor distT="0" distB="0" distL="114300" distR="114300" simplePos="0" relativeHeight="251658245" behindDoc="1" locked="0" layoutInCell="1" allowOverlap="1" wp14:anchorId="0AA8ED79" wp14:editId="7F147C79">
            <wp:simplePos x="0" y="0"/>
            <wp:positionH relativeFrom="page">
              <wp:posOffset>0</wp:posOffset>
            </wp:positionH>
            <wp:positionV relativeFrom="paragraph">
              <wp:posOffset>-962025</wp:posOffset>
            </wp:positionV>
            <wp:extent cx="10692130" cy="6903311"/>
            <wp:effectExtent l="0" t="0" r="0" b="0"/>
            <wp:wrapNone/>
            <wp:docPr id="2" name="Picture 2" descr="A picture containing fi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F2021_module-cover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07"/>
                    <a:stretch/>
                  </pic:blipFill>
                  <pic:spPr bwMode="auto">
                    <a:xfrm>
                      <a:off x="0" y="0"/>
                      <a:ext cx="10692130" cy="6903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EF7" w:rsidRPr="00812A7A">
        <w:rPr>
          <w:noProof/>
        </w:rPr>
        <w:t xml:space="preserve"> </w:t>
      </w:r>
    </w:p>
    <w:p w14:paraId="24ABA24B" w14:textId="77777777" w:rsidR="0094476A" w:rsidRPr="00812A7A" w:rsidRDefault="0094476A" w:rsidP="00FF0A64"/>
    <w:p w14:paraId="178804F6" w14:textId="3DE80043" w:rsidR="00F573C1" w:rsidRPr="00812A7A" w:rsidRDefault="00F573C1" w:rsidP="00FF0A64"/>
    <w:p w14:paraId="58331EC4" w14:textId="6EE338DF" w:rsidR="00F573C1" w:rsidRPr="00812A7A" w:rsidRDefault="00F573C1" w:rsidP="00FF0A64"/>
    <w:p w14:paraId="7A2FB72C" w14:textId="27424E2D" w:rsidR="00B50385" w:rsidRPr="00812A7A" w:rsidRDefault="00B50385" w:rsidP="00B50385">
      <w:pPr>
        <w:tabs>
          <w:tab w:val="center" w:pos="6848"/>
        </w:tabs>
        <w:spacing w:after="160" w:line="259" w:lineRule="auto"/>
      </w:pPr>
    </w:p>
    <w:p w14:paraId="2CFBE423" w14:textId="11D01A33" w:rsidR="003C6C9C" w:rsidRPr="00812A7A" w:rsidRDefault="006F3D4B" w:rsidP="00F36160">
      <w:bookmarkStart w:id="0" w:name="_Toc122332740"/>
      <w:r w:rsidRPr="00812A7A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4FD7B478" wp14:editId="3F94DCA2">
                <wp:simplePos x="0" y="0"/>
                <wp:positionH relativeFrom="margin">
                  <wp:posOffset>-2403</wp:posOffset>
                </wp:positionH>
                <wp:positionV relativeFrom="paragraph">
                  <wp:posOffset>1234026</wp:posOffset>
                </wp:positionV>
                <wp:extent cx="6527800" cy="805180"/>
                <wp:effectExtent l="0" t="0" r="0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805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EFB90" w14:textId="1910BC60" w:rsidR="00795E68" w:rsidRPr="00C85AAC" w:rsidRDefault="00182DD3" w:rsidP="00C85AAC">
                            <w:pPr>
                              <w:pBdr>
                                <w:bottom w:val="single" w:sz="4" w:space="1" w:color="00B0F0"/>
                              </w:pBd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:lang w:val="en-US"/>
                              </w:rPr>
                              <w:t>CONFIDENCE-BUILDING MEASURES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D7B47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.2pt;margin-top:97.15pt;width:514pt;height:63.4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a1Y+AEAAM0DAAAOAAAAZHJzL2Uyb0RvYy54bWysU1Fv0zAQfkfiP1h+p0mrduuiptPYKEIa&#10;A2nwA1zHaSxsnzm7Tcqv5+x0XQVviDxYvpz93X3ffV7dDtawg8KgwdV8Oik5U05Co92u5t+/bd4t&#10;OQtRuEYYcKrmRxX47frtm1XvKzWDDkyjkBGIC1Xva97F6KuiCLJTVoQJeOUo2QJaESnEXdGg6And&#10;mmJWlldFD9h4BKlCoL8PY5KvM37bKhm/tG1QkZmaU28xr5jXbVqL9UpUOxS+0/LUhviHLqzQjoqe&#10;oR5EFGyP+i8oqyVCgDZOJNgC2lZLlTkQm2n5B5vnTniVuZA4wZ9lCv8PVj4dnv1XZHF4DwMNMJMI&#10;/hHkj8Ac3HfC7dQdIvSdEg0VnibJit6H6nQ1SR2qkEC2/WdoaMhiHyEDDS3apArxZIROAzieRVdD&#10;ZJJ+Xi1m18uSUpJyy3IxXeapFKJ6ue0xxI8KLEubmiMNNaOLw2OIqRtRvRxJxRxstDF5sMaxvuY3&#10;i9kiX7jIWB3Jd0bbVDN9oxMSyQ+uyZej0GbcUwHjTqwT0ZFyHLYDHUzst9AciT/C6C96D7TpAH9x&#10;1pO3ah5+7gUqzswnRxreTOfzZMYczBfXMwrwMrO9zAgnCarmkbNxex+zgRPX4O9I643OMrx2cuqV&#10;PJPVOfk7mfIyzqdeX+H6NwAAAP//AwBQSwMEFAAGAAgAAAAhAEJaYCDfAAAACgEAAA8AAABkcnMv&#10;ZG93bnJldi54bWxMj8FOwzAQRO9I/IO1SNxaO2nVQohTVagtR6BEnN14SSLitWW7afh73BMcZ2c0&#10;87bcTGZgI/rQW5KQzQUwpMbqnloJ9cd+9gAsREVaDZZQwg8G2FS3N6UqtL3QO47H2LJUQqFQEroY&#10;XcF5aDo0KsytQ0rel/VGxSR9y7VXl1RuBp4LseJG9ZQWOuXwucPm+3g2Elx0h/WLf33b7vajqD8P&#10;dd63Oynv76btE7CIU/wLwxU/oUOVmE72TDqwQcJsmYLp/LhcALv6Il+vgJ0kLPIsA16V/P8L1S8A&#10;AAD//wMAUEsBAi0AFAAGAAgAAAAhALaDOJL+AAAA4QEAABMAAAAAAAAAAAAAAAAAAAAAAFtDb250&#10;ZW50X1R5cGVzXS54bWxQSwECLQAUAAYACAAAACEAOP0h/9YAAACUAQAACwAAAAAAAAAAAAAAAAAv&#10;AQAAX3JlbHMvLnJlbHNQSwECLQAUAAYACAAAACEAxhGtWPgBAADNAwAADgAAAAAAAAAAAAAAAAAu&#10;AgAAZHJzL2Uyb0RvYy54bWxQSwECLQAUAAYACAAAACEAQlpgIN8AAAAKAQAADwAAAAAAAAAAAAAA&#10;AABSBAAAZHJzL2Rvd25yZXYueG1sUEsFBgAAAAAEAAQA8wAAAF4FAAAAAA==&#10;" filled="f" stroked="f">
                <v:textbox style="mso-fit-shape-to-text:t">
                  <w:txbxContent>
                    <w:p w14:paraId="411EFB90" w14:textId="1910BC60" w:rsidR="00795E68" w:rsidRPr="00C85AAC" w:rsidRDefault="00182DD3" w:rsidP="00C85AAC">
                      <w:pPr>
                        <w:pBdr>
                          <w:bottom w:val="single" w:sz="4" w:space="1" w:color="00B0F0"/>
                        </w:pBdr>
                        <w:rPr>
                          <w:b/>
                          <w:bCs/>
                          <w:color w:val="00B0F0"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B0F0"/>
                          <w:sz w:val="48"/>
                          <w:szCs w:val="48"/>
                          <w:lang w:val="en-US"/>
                        </w:rPr>
                        <w:t>CONFIDENCE-BUILDING MEASURES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 w:rsidRPr="00812A7A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4522051" wp14:editId="4F93E7E4">
                <wp:simplePos x="0" y="0"/>
                <wp:positionH relativeFrom="margin">
                  <wp:posOffset>0</wp:posOffset>
                </wp:positionH>
                <wp:positionV relativeFrom="paragraph">
                  <wp:posOffset>855345</wp:posOffset>
                </wp:positionV>
                <wp:extent cx="5705475" cy="26543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265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8A212" w14:textId="1A9F2CF9" w:rsidR="00795E68" w:rsidRPr="00B50385" w:rsidRDefault="00795E68" w:rsidP="00932DAB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50385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PRI Reporting Framework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522051" id="Text Box 7" o:spid="_x0000_s1027" type="#_x0000_t202" style="position:absolute;margin-left:0;margin-top:67.35pt;width:449.25pt;height:20.9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pL/QEAANQDAAAOAAAAZHJzL2Uyb0RvYy54bWysU9uO2yAQfa/Uf0C8N3bceLNrxVltd5uq&#10;0vYibfsBGOMYFRgKJHb69R2wNxu1b1X9gAbGc5hz5rC5HbUiR+G8BFPT5SKnRBgOrTT7mn7/tntz&#10;TYkPzLRMgRE1PQlPb7evX20GW4kCelCtcARBjK8GW9M+BFtlmee90MwvwAqDyQ6cZgG3bp+1jg2I&#10;rlVW5PlVNoBrrQMuvMfThylJtwm/6wQPX7rOi0BUTbG3kFaX1iau2XbDqr1jtpd8boP9QxeaSYOX&#10;nqEeWGDk4ORfUFpyBx66sOCgM+g6yUXigGyW+R9snnpmReKC4nh7lsn/P1j++fhkvzoSxncw4gAT&#10;CW8fgf/wxMB9z8xe3DkHQy9Yixcvo2TZYH01l0apfeUjSDN8ghaHzA4BEtDYOR1VQZ4E0XEAp7Po&#10;YgyE42G5zsvVuqSEY664Kldv01QyVj1XW+fDBwGaxKCmDoea0Nnx0YfYDauef4mXGdhJpdJglSFD&#10;TW/KokwFFxktA/pOSV3T6zx+kxMiyfemTcWBSTXFeIEyM+tIdKIcxmYksp0liSI00J5QBgeTzfBZ&#10;YNCD+0XJgBarqf95YE5Qoj4alPJmuVpFT6bNqlwXuHGXmeYywwxHqJoGSqbwPiQfR8re3qHkO5nU&#10;eOlkbhmtk0SabR69eblPf708xu1vAAAA//8DAFBLAwQUAAYACAAAACEABbm7rt0AAAAIAQAADwAA&#10;AGRycy9kb3ducmV2LnhtbEyPwU7DMBBE70j8g7VI3KhDoU0IcaoKteUItFHPbrwkEfE6st00/D3L&#10;CY47M5p9U6wm24sRfegcKbifJSCQamc6ahRUh+1dBiJETUb3jlDBNwZYlddXhc6Nu9AHjvvYCC6h&#10;kGsFbYxDLmWoW7Q6zNyAxN6n81ZHPn0jjdcXLre9nCfJUlrdEX9o9YAvLdZf+7NVMMRhl776t/f1&#10;Zjsm1XFXzbtmo9TtzbR+BhFxin9h+MVndCiZ6eTOZILoFfCQyOrDYwqC7ewpW4A4sZIuFyDLQv4f&#10;UP4AAAD//wMAUEsBAi0AFAAGAAgAAAAhALaDOJL+AAAA4QEAABMAAAAAAAAAAAAAAAAAAAAAAFtD&#10;b250ZW50X1R5cGVzXS54bWxQSwECLQAUAAYACAAAACEAOP0h/9YAAACUAQAACwAAAAAAAAAAAAAA&#10;AAAvAQAAX3JlbHMvLnJlbHNQSwECLQAUAAYACAAAACEA2hx6S/0BAADUAwAADgAAAAAAAAAAAAAA&#10;AAAuAgAAZHJzL2Uyb0RvYy54bWxQSwECLQAUAAYACAAAACEABbm7rt0AAAAIAQAADwAAAAAAAAAA&#10;AAAAAABXBAAAZHJzL2Rvd25yZXYueG1sUEsFBgAAAAAEAAQA8wAAAGEFAAAAAA==&#10;" filled="f" stroked="f">
                <v:textbox style="mso-fit-shape-to-text:t">
                  <w:txbxContent>
                    <w:p w14:paraId="3FF8A212" w14:textId="1A9F2CF9" w:rsidR="00795E68" w:rsidRPr="00B50385" w:rsidRDefault="00795E68" w:rsidP="00932DAB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B50385">
                        <w:rPr>
                          <w:b/>
                          <w:bCs/>
                          <w:color w:val="FFFFFF" w:themeColor="background1"/>
                        </w:rPr>
                        <w:t>PRI Reporting Framework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 w:rsidRPr="00812A7A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7F40AD2" wp14:editId="7F44D56F">
                <wp:simplePos x="0" y="0"/>
                <wp:positionH relativeFrom="margin">
                  <wp:posOffset>0</wp:posOffset>
                </wp:positionH>
                <wp:positionV relativeFrom="paragraph">
                  <wp:posOffset>1845945</wp:posOffset>
                </wp:positionV>
                <wp:extent cx="4200525" cy="2984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EB771" w14:textId="32177802" w:rsidR="00795E68" w:rsidRPr="007D00B6" w:rsidRDefault="008472E2" w:rsidP="00290DD4">
                            <w:r w:rsidRPr="00290DD4"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b/>
                                <w:color w:val="0070C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F40AD2" id="Text Box 6" o:spid="_x0000_s1028" type="#_x0000_t202" style="position:absolute;margin-left:0;margin-top:145.35pt;width:330.75pt;height:23.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0gI+gEAANQDAAAOAAAAZHJzL2Uyb0RvYy54bWysU9uO2yAQfa/Uf0C8N06ipE2sOKvtblNV&#10;2l6kbT9ggnGMCgwFEjv9+g7Ym422b1X9gAbGc5hz5rC56Y1mJ+mDQlvx2WTKmbQCa2UPFf/xffdm&#10;xVmIYGvQaGXFzzLwm+3rV5vOlXKOLepaekYgNpSdq3gboyuLIohWGggTdNJSskFvINLWH4raQ0fo&#10;Rhfz6fRt0aGvnUchQ6DT+yHJtxm/aaSIX5smyMh0xam3mFef131ai+0GyoMH1yoxtgH/0IUBZenS&#10;C9Q9RGBHr/6CMkp4DNjEiUBTYNMoITMHYjObvmDz2IKTmQuJE9xFpvD/YMWX06P75lns32NPA8wk&#10;gntA8TMwi3ct2IO89R67VkJNF8+SZEXnQjmWJqlDGRLIvvuMNQ0ZjhEzUN94k1QhnozQaQDni+iy&#10;j0zQ4YLGuJwvOROUm69Xi2WeSgHlU7XzIX6UaFgKKu5pqBkdTg8hpm6gfPolXWZxp7TOg9WWdRVf&#10;J/gXGaMi+U4rU/HVNH2DExLJD7bOxRGUHmK6QNuRdSI6UI79vmeqpqZTbRJhj/WZZPA42IyeBQUt&#10;+t+cdWSxiodfR/CSM/3JkpTr2WKRPJk3i+W7OW38dWZ/nQErCKrikbMhvIvZx4lYcLck+U5lNZ47&#10;GVsm62SRRpsnb17v81/Pj3H7BwAA//8DAFBLAwQUAAYACAAAACEAQtvkZ90AAAAIAQAADwAAAGRy&#10;cy9kb3ducmV2LnhtbEyPwU7DMBBE70j8g7VI3KjdVCQQ4lQVasuRUiLObrwkEfHast00/D3mBMfR&#10;jGbeVOvZjGxCHwZLEpYLAQyptXqgTkLzvrt7ABaiIq1GSyjhGwOs6+urSpXaXugNp2PsWCqhUCoJ&#10;fYyu5Dy0PRoVFtYhJe/TeqNikr7j2qtLKjcjz4TIuVEDpYVeOXzusf06no0EF92+ePGvh812N4nm&#10;Y99kQ7eV8vZm3jwBizjHvzD84id0qBPTyZ5JBzZKSEeihOxRFMCSnefLe2AnCatVUQCvK/7/QP0D&#10;AAD//wMAUEsBAi0AFAAGAAgAAAAhALaDOJL+AAAA4QEAABMAAAAAAAAAAAAAAAAAAAAAAFtDb250&#10;ZW50X1R5cGVzXS54bWxQSwECLQAUAAYACAAAACEAOP0h/9YAAACUAQAACwAAAAAAAAAAAAAAAAAv&#10;AQAAX3JlbHMvLnJlbHNQSwECLQAUAAYACAAAACEAEPdICPoBAADUAwAADgAAAAAAAAAAAAAAAAAu&#10;AgAAZHJzL2Uyb0RvYy54bWxQSwECLQAUAAYACAAAACEAQtvkZ90AAAAIAQAADwAAAAAAAAAAAAAA&#10;AABUBAAAZHJzL2Rvd25yZXYueG1sUEsFBgAAAAAEAAQA8wAAAF4FAAAAAA==&#10;" filled="f" stroked="f">
                <v:textbox style="mso-fit-shape-to-text:t">
                  <w:txbxContent>
                    <w:p w14:paraId="754EB771" w14:textId="32177802" w:rsidR="00795E68" w:rsidRPr="007D00B6" w:rsidRDefault="008472E2" w:rsidP="00290DD4">
                      <w:r w:rsidRPr="00290DD4">
                        <w:rPr>
                          <w:b/>
                          <w:color w:val="0070C0"/>
                          <w:sz w:val="24"/>
                          <w:szCs w:val="24"/>
                        </w:rPr>
                        <w:t>202</w:t>
                      </w:r>
                      <w:r>
                        <w:rPr>
                          <w:b/>
                          <w:color w:val="0070C0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 w:rsidRPr="00812A7A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D4024DD" wp14:editId="4DC422BD">
                <wp:simplePos x="0" y="0"/>
                <wp:positionH relativeFrom="margin">
                  <wp:align>left</wp:align>
                </wp:positionH>
                <wp:positionV relativeFrom="paragraph">
                  <wp:posOffset>3503295</wp:posOffset>
                </wp:positionV>
                <wp:extent cx="4200525" cy="23241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232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E359F" w14:textId="4871E680" w:rsidR="00795E68" w:rsidRPr="004D7D84" w:rsidRDefault="003824E0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D7D84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Last revision: </w:t>
                            </w:r>
                            <w:r w:rsidR="004E65F0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10 May</w:t>
                            </w:r>
                            <w:r w:rsidR="00CD36F4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4024DD" id="Text Box 8" o:spid="_x0000_s1029" type="#_x0000_t202" style="position:absolute;margin-left:0;margin-top:275.85pt;width:330.75pt;height:18.3pt;z-index:25165824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FZ+wEAANQDAAAOAAAAZHJzL2Uyb0RvYy54bWysU11v2yAUfZ+0/4B4X5y4ztZaIVXXLtOk&#10;7kNq9wMIxjEacBmQ2Nmv3wW7adS9VfMDunB9D/ece1hdD0aTg/RBgWV0MZtTIq2ARtkdoz8fN+8u&#10;KQmR24ZrsJLRowz0ev32zap3tSyhA91ITxDEhrp3jHYxurooguik4WEGTlpMtuANj7j1u6LxvEd0&#10;o4tyPn9f9OAb50HIEPD0bkzSdcZvWyni97YNMhLNKPYW8+rzuk1rsV7xeue565SY2uCv6MJwZfHS&#10;E9Qdj5zsvfoHyijhIUAbZwJMAW2rhMwckM1i/oLNQ8edzFxQnOBOMoX/Byu+HR7cD0/i8BEGHGAm&#10;Edw9iF+BWLjtuN3JG++h7yRv8OJFkqzoXain0iR1qEMC2fZfocEh832EDDS03iRVkCdBdBzA8SS6&#10;HCIReFjhGJflkhKBufKirBZ5KgWvn6qdD/GzBENSwKjHoWZ0frgPMXXD66df0mUWNkrrPFhtSc/o&#10;VYJ/kTEqou+0MoxeztM3OiGR/GSbXBy50mOMF2g7sU5ER8px2A5ENYxepNokwhaaI8rgYbQZPgsM&#10;OvB/KOnRYoyG33vuJSX6i0UprxZVlTyZN9XyQ4kbf57Znme4FQjFaKRkDG9j9nEiFtwNSr5RWY3n&#10;TqaW0TpZpMnmyZvn+/zX82Nc/wUAAP//AwBQSwMEFAAGAAgAAAAhAE8GNVHeAAAACAEAAA8AAABk&#10;cnMvZG93bnJldi54bWxMj81OwzAQhO9IvIO1SNyok6KkUYhTVagtR6BEnN14m0SNf2S7aXh7lhM9&#10;zs5q5ptqPeuRTejDYI2AdJEAQ9NaNZhOQPO1eyqAhSiNkqM1KOAHA6zr+7tKlspezSdOh9gxCjGh&#10;lAL6GF3JeWh71DIsrEND3sl6LSNJ33Hl5ZXC9ciXSZJzLQdDDb10+Npjez5ctAAX3X715t8/Ntvd&#10;lDTf+2Y5dFshHh/mzQuwiHP8f4Y/fEKHmpiO9mJUYKMAGhIFZFm6AkZ2nqcZsCNdiuIZeF3x2wH1&#10;LwAAAP//AwBQSwECLQAUAAYACAAAACEAtoM4kv4AAADhAQAAEwAAAAAAAAAAAAAAAAAAAAAAW0Nv&#10;bnRlbnRfVHlwZXNdLnhtbFBLAQItABQABgAIAAAAIQA4/SH/1gAAAJQBAAALAAAAAAAAAAAAAAAA&#10;AC8BAABfcmVscy8ucmVsc1BLAQItABQABgAIAAAAIQBMaeFZ+wEAANQDAAAOAAAAAAAAAAAAAAAA&#10;AC4CAABkcnMvZTJvRG9jLnhtbFBLAQItABQABgAIAAAAIQBPBjVR3gAAAAgBAAAPAAAAAAAAAAAA&#10;AAAAAFUEAABkcnMvZG93bnJldi54bWxQSwUGAAAAAAQABADzAAAAYAUAAAAA&#10;" filled="f" stroked="f">
                <v:textbox style="mso-fit-shape-to-text:t">
                  <w:txbxContent>
                    <w:p w14:paraId="739E359F" w14:textId="4871E680" w:rsidR="00795E68" w:rsidRPr="004D7D84" w:rsidRDefault="003824E0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4D7D84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Last revision: </w:t>
                      </w:r>
                      <w:r w:rsidR="004E65F0">
                        <w:rPr>
                          <w:color w:val="FFFFFF" w:themeColor="background1"/>
                          <w:sz w:val="16"/>
                          <w:szCs w:val="16"/>
                        </w:rPr>
                        <w:t>10 May</w:t>
                      </w:r>
                      <w:r w:rsidR="00CD36F4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 w:rsidR="00AF407C" w:rsidRPr="00812A7A">
        <w:br w:type="page"/>
      </w:r>
    </w:p>
    <w:p w14:paraId="3674BAA5" w14:textId="62E70DD1" w:rsidR="00AF407C" w:rsidRPr="00812A7A" w:rsidRDefault="000F3CF4" w:rsidP="000E573E">
      <w:pPr>
        <w:tabs>
          <w:tab w:val="right" w:pos="8789"/>
          <w:tab w:val="left" w:pos="8931"/>
        </w:tabs>
        <w:rPr>
          <w:rFonts w:cs="Arial"/>
          <w:color w:val="2F5496"/>
          <w:szCs w:val="40"/>
        </w:rPr>
      </w:pPr>
      <w:bookmarkStart w:id="1" w:name="_Toc50988861"/>
      <w:r w:rsidRPr="00812A7A">
        <w:rPr>
          <w:rFonts w:cs="Arial"/>
          <w:caps/>
          <w:color w:val="2F5496"/>
          <w:sz w:val="40"/>
          <w:szCs w:val="40"/>
        </w:rPr>
        <w:lastRenderedPageBreak/>
        <w:t>Table of content</w:t>
      </w:r>
      <w:bookmarkEnd w:id="1"/>
      <w:r w:rsidR="003C7766" w:rsidRPr="00812A7A">
        <w:rPr>
          <w:rFonts w:cs="Arial"/>
          <w:caps/>
          <w:color w:val="2F5496"/>
          <w:sz w:val="40"/>
          <w:szCs w:val="40"/>
        </w:rPr>
        <w:t>s</w:t>
      </w:r>
    </w:p>
    <w:sdt>
      <w:sdtPr>
        <w:rPr>
          <w:rFonts w:eastAsia="MS PGothic" w:cs="Times New Roman"/>
          <w:caps w:val="0"/>
          <w:noProof/>
          <w:color w:val="auto"/>
          <w:sz w:val="20"/>
          <w:szCs w:val="20"/>
        </w:rPr>
        <w:id w:val="-14047514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79154EF" w14:textId="2DB2FEE9" w:rsidR="00E057F3" w:rsidRDefault="002860A1" w:rsidP="00E057F3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en-GB"/>
            </w:rPr>
          </w:pPr>
          <w:r w:rsidRPr="00812A7A">
            <w:fldChar w:fldCharType="begin"/>
          </w:r>
          <w:r w:rsidRPr="00812A7A">
            <w:instrText xml:space="preserve"> TOC \o "1-3" \h \z \u </w:instrText>
          </w:r>
          <w:r w:rsidRPr="00812A7A">
            <w:fldChar w:fldCharType="separate"/>
          </w:r>
          <w:hyperlink w:anchor="_Toc122332740" w:history="1">
            <w:r w:rsidR="00E057F3">
              <w:rPr>
                <w:noProof/>
                <w:webHidden/>
              </w:rPr>
              <w:tab/>
            </w:r>
          </w:hyperlink>
        </w:p>
        <w:p w14:paraId="1D745195" w14:textId="492CD2A3" w:rsidR="00E057F3" w:rsidRDefault="00000000" w:rsidP="00E057F3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en-GB"/>
            </w:rPr>
          </w:pPr>
          <w:hyperlink w:anchor="_Toc122332741" w:history="1">
            <w:r w:rsidR="00E057F3" w:rsidRPr="00043004">
              <w:rPr>
                <w:rStyle w:val="Hyperlink"/>
                <w:noProof/>
              </w:rPr>
              <w:t>Confidence-building measures</w:t>
            </w:r>
            <w:r w:rsidR="00E057F3">
              <w:rPr>
                <w:noProof/>
                <w:webHidden/>
              </w:rPr>
              <w:tab/>
            </w:r>
            <w:r w:rsidR="00E057F3">
              <w:rPr>
                <w:noProof/>
                <w:webHidden/>
              </w:rPr>
              <w:fldChar w:fldCharType="begin"/>
            </w:r>
            <w:r w:rsidR="00E057F3">
              <w:rPr>
                <w:noProof/>
                <w:webHidden/>
              </w:rPr>
              <w:instrText xml:space="preserve"> PAGEREF _Toc122332741 \h </w:instrText>
            </w:r>
            <w:r w:rsidR="00E057F3">
              <w:rPr>
                <w:noProof/>
                <w:webHidden/>
              </w:rPr>
            </w:r>
            <w:r w:rsidR="00E057F3">
              <w:rPr>
                <w:noProof/>
                <w:webHidden/>
              </w:rPr>
              <w:fldChar w:fldCharType="separate"/>
            </w:r>
            <w:r w:rsidR="003F4501">
              <w:rPr>
                <w:noProof/>
                <w:webHidden/>
              </w:rPr>
              <w:t>3</w:t>
            </w:r>
            <w:r w:rsidR="00E057F3">
              <w:rPr>
                <w:noProof/>
                <w:webHidden/>
              </w:rPr>
              <w:fldChar w:fldCharType="end"/>
            </w:r>
          </w:hyperlink>
        </w:p>
        <w:p w14:paraId="126A853E" w14:textId="73A5CF19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42" w:history="1">
            <w:r w:rsidR="00E057F3" w:rsidRPr="00043004">
              <w:rPr>
                <w:rStyle w:val="Hyperlink"/>
              </w:rPr>
              <w:t>Approach to confidence-building measures [CBM 1]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_Toc122332742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3</w:t>
            </w:r>
            <w:r w:rsidR="00E057F3">
              <w:rPr>
                <w:webHidden/>
              </w:rPr>
              <w:fldChar w:fldCharType="end"/>
            </w:r>
          </w:hyperlink>
        </w:p>
        <w:p w14:paraId="1B865346" w14:textId="14F40769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43" w:history="1">
            <w:r w:rsidR="00E057F3" w:rsidRPr="00043004">
              <w:rPr>
                <w:rStyle w:val="Hyperlink"/>
              </w:rPr>
              <w:t>CBM 1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_Toc122332743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3</w:t>
            </w:r>
            <w:r w:rsidR="00E057F3">
              <w:rPr>
                <w:webHidden/>
              </w:rPr>
              <w:fldChar w:fldCharType="end"/>
            </w:r>
          </w:hyperlink>
        </w:p>
        <w:p w14:paraId="0B355D4E" w14:textId="02CB9688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44" w:history="1">
            <w:r w:rsidR="00E057F3" w:rsidRPr="00043004">
              <w:rPr>
                <w:rStyle w:val="Hyperlink"/>
              </w:rPr>
              <w:t>Third-party external assurance [CBM 2, CBM 3]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_Toc122332744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6</w:t>
            </w:r>
            <w:r w:rsidR="00E057F3">
              <w:rPr>
                <w:webHidden/>
              </w:rPr>
              <w:fldChar w:fldCharType="end"/>
            </w:r>
          </w:hyperlink>
        </w:p>
        <w:p w14:paraId="194927A5" w14:textId="4A2069FF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45" w:history="1">
            <w:r w:rsidR="00E057F3" w:rsidRPr="00043004">
              <w:rPr>
                <w:rStyle w:val="Hyperlink"/>
              </w:rPr>
              <w:t>CBM 2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_Toc122332745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6</w:t>
            </w:r>
            <w:r w:rsidR="00E057F3">
              <w:rPr>
                <w:webHidden/>
              </w:rPr>
              <w:fldChar w:fldCharType="end"/>
            </w:r>
          </w:hyperlink>
        </w:p>
        <w:p w14:paraId="2682A229" w14:textId="0BC95B0D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46" w:history="1">
            <w:r w:rsidR="00E057F3" w:rsidRPr="00043004">
              <w:rPr>
                <w:rStyle w:val="Hyperlink"/>
              </w:rPr>
              <w:t>CBM 3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_Toc122332746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8</w:t>
            </w:r>
            <w:r w:rsidR="00E057F3">
              <w:rPr>
                <w:webHidden/>
              </w:rPr>
              <w:fldChar w:fldCharType="end"/>
            </w:r>
          </w:hyperlink>
        </w:p>
        <w:p w14:paraId="7C93C1BA" w14:textId="6CEFF910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47" w:history="1">
            <w:r w:rsidR="00E057F3" w:rsidRPr="00043004">
              <w:rPr>
                <w:rStyle w:val="Hyperlink"/>
              </w:rPr>
              <w:t>Internal audit [CBM 4, CBM 5]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_Toc122332747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11</w:t>
            </w:r>
            <w:r w:rsidR="00E057F3">
              <w:rPr>
                <w:webHidden/>
              </w:rPr>
              <w:fldChar w:fldCharType="end"/>
            </w:r>
          </w:hyperlink>
        </w:p>
        <w:p w14:paraId="4B7BFDAC" w14:textId="32CC9CFE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48" w:history="1">
            <w:r w:rsidR="00E057F3" w:rsidRPr="00043004">
              <w:rPr>
                <w:rStyle w:val="Hyperlink"/>
              </w:rPr>
              <w:t>CBM 4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_Toc122332748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11</w:t>
            </w:r>
            <w:r w:rsidR="00E057F3">
              <w:rPr>
                <w:webHidden/>
              </w:rPr>
              <w:fldChar w:fldCharType="end"/>
            </w:r>
          </w:hyperlink>
        </w:p>
        <w:p w14:paraId="6EBF881F" w14:textId="5EDCE233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49" w:history="1">
            <w:r w:rsidR="00E057F3" w:rsidRPr="00043004">
              <w:rPr>
                <w:rStyle w:val="Hyperlink"/>
              </w:rPr>
              <w:t>CBM 5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_Toc122332749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13</w:t>
            </w:r>
            <w:r w:rsidR="00E057F3">
              <w:rPr>
                <w:webHidden/>
              </w:rPr>
              <w:fldChar w:fldCharType="end"/>
            </w:r>
          </w:hyperlink>
        </w:p>
        <w:p w14:paraId="44D608E5" w14:textId="2BE0B948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50" w:history="1">
            <w:r w:rsidR="00E057F3" w:rsidRPr="00043004">
              <w:rPr>
                <w:rStyle w:val="Hyperlink"/>
              </w:rPr>
              <w:t>Internal review [CBM 6]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_Toc122332750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15</w:t>
            </w:r>
            <w:r w:rsidR="00E057F3">
              <w:rPr>
                <w:webHidden/>
              </w:rPr>
              <w:fldChar w:fldCharType="end"/>
            </w:r>
          </w:hyperlink>
        </w:p>
        <w:p w14:paraId="622007F0" w14:textId="57DF01DC" w:rsidR="00E057F3" w:rsidRDefault="00000000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2332751" w:history="1">
            <w:r w:rsidR="00E057F3" w:rsidRPr="00043004">
              <w:rPr>
                <w:rStyle w:val="Hyperlink"/>
              </w:rPr>
              <w:t>CBM 6</w:t>
            </w:r>
            <w:r w:rsidR="00E057F3">
              <w:rPr>
                <w:webHidden/>
              </w:rPr>
              <w:tab/>
            </w:r>
            <w:r w:rsidR="00E057F3">
              <w:rPr>
                <w:webHidden/>
              </w:rPr>
              <w:fldChar w:fldCharType="begin"/>
            </w:r>
            <w:r w:rsidR="00E057F3">
              <w:rPr>
                <w:webHidden/>
              </w:rPr>
              <w:instrText xml:space="preserve"> PAGEREF _Toc122332751 \h </w:instrText>
            </w:r>
            <w:r w:rsidR="00E057F3">
              <w:rPr>
                <w:webHidden/>
              </w:rPr>
            </w:r>
            <w:r w:rsidR="00E057F3">
              <w:rPr>
                <w:webHidden/>
              </w:rPr>
              <w:fldChar w:fldCharType="separate"/>
            </w:r>
            <w:r w:rsidR="003F4501">
              <w:rPr>
                <w:webHidden/>
              </w:rPr>
              <w:t>15</w:t>
            </w:r>
            <w:r w:rsidR="00E057F3">
              <w:rPr>
                <w:webHidden/>
              </w:rPr>
              <w:fldChar w:fldCharType="end"/>
            </w:r>
          </w:hyperlink>
        </w:p>
        <w:p w14:paraId="533A4E3A" w14:textId="2781FF6D" w:rsidR="001A558E" w:rsidRPr="00812A7A" w:rsidRDefault="002860A1" w:rsidP="00E057F3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r w:rsidRPr="00812A7A">
            <w:fldChar w:fldCharType="end"/>
          </w:r>
        </w:p>
      </w:sdtContent>
    </w:sdt>
    <w:p w14:paraId="1664E2AA" w14:textId="044915E0" w:rsidR="000F3CF4" w:rsidRPr="00812A7A" w:rsidRDefault="000F3CF4">
      <w:pPr>
        <w:spacing w:after="160" w:line="259" w:lineRule="auto"/>
      </w:pPr>
      <w:r w:rsidRPr="00812A7A">
        <w:br w:type="page"/>
      </w:r>
    </w:p>
    <w:p w14:paraId="23685B04" w14:textId="7B080FFE" w:rsidR="00BE3C9E" w:rsidRPr="00812A7A" w:rsidRDefault="00ED2A79" w:rsidP="00BE3C9E">
      <w:pPr>
        <w:pStyle w:val="Heading1"/>
      </w:pPr>
      <w:bookmarkStart w:id="2" w:name="_Toc122332741"/>
      <w:r w:rsidRPr="00812A7A">
        <w:lastRenderedPageBreak/>
        <w:t>Confidence-building measures</w:t>
      </w:r>
      <w:bookmarkEnd w:id="2"/>
    </w:p>
    <w:p w14:paraId="096376F8" w14:textId="75ACE097" w:rsidR="009417B5" w:rsidRPr="00812A7A" w:rsidRDefault="00A66C2C" w:rsidP="009417B5">
      <w:pPr>
        <w:pStyle w:val="Heading2"/>
        <w:tabs>
          <w:tab w:val="left" w:pos="12758"/>
        </w:tabs>
        <w:rPr>
          <w:rFonts w:eastAsia="MS PGothic" w:cs="Times New Roman"/>
          <w:caps w:val="0"/>
          <w:color w:val="auto"/>
          <w:sz w:val="20"/>
          <w:szCs w:val="20"/>
        </w:rPr>
      </w:pPr>
      <w:bookmarkStart w:id="3" w:name="_Toc122332742"/>
      <w:r w:rsidRPr="00812A7A">
        <w:t>A</w:t>
      </w:r>
      <w:r w:rsidR="005376F5" w:rsidRPr="00812A7A">
        <w:t>pproach to confidence-building measures</w:t>
      </w:r>
      <w:r w:rsidR="009417B5" w:rsidRPr="00812A7A">
        <w:t xml:space="preserve"> [</w:t>
      </w:r>
      <w:r w:rsidR="00383D78" w:rsidRPr="00812A7A">
        <w:t>CBM 1</w:t>
      </w:r>
      <w:r w:rsidR="009417B5" w:rsidRPr="00812A7A">
        <w:t>]</w:t>
      </w:r>
      <w:bookmarkEnd w:id="3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0"/>
        <w:gridCol w:w="1558"/>
        <w:gridCol w:w="2833"/>
        <w:gridCol w:w="2131"/>
        <w:gridCol w:w="2544"/>
        <w:gridCol w:w="1984"/>
        <w:gridCol w:w="1985"/>
        <w:gridCol w:w="9"/>
      </w:tblGrid>
      <w:tr w:rsidR="00B65D54" w:rsidRPr="00812A7A" w14:paraId="5D021170" w14:textId="77777777" w:rsidTr="00F36160">
        <w:trPr>
          <w:gridAfter w:val="1"/>
          <w:wAfter w:w="9" w:type="dxa"/>
          <w:trHeight w:val="400"/>
        </w:trPr>
        <w:tc>
          <w:tcPr>
            <w:tcW w:w="1840" w:type="dxa"/>
            <w:vMerge w:val="restart"/>
            <w:shd w:val="clear" w:color="auto" w:fill="DFF5F9"/>
            <w:vAlign w:val="center"/>
            <w:hideMark/>
          </w:tcPr>
          <w:p w14:paraId="47D7B4E7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Indicator ID</w:t>
            </w:r>
          </w:p>
          <w:p w14:paraId="3943CD39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  <w:p w14:paraId="7924CC3C" w14:textId="0430E9C2" w:rsidR="00B65D54" w:rsidRPr="00812A7A" w:rsidRDefault="00B65D54" w:rsidP="00DA1C58">
            <w:pPr>
              <w:pStyle w:val="Indicatorsubsection"/>
              <w:rPr>
                <w:sz w:val="18"/>
                <w:szCs w:val="18"/>
                <w:lang w:val="en-GB"/>
              </w:rPr>
            </w:pPr>
            <w:bookmarkStart w:id="4" w:name="_Toc122332743"/>
            <w:r w:rsidRPr="00812A7A">
              <w:rPr>
                <w:lang w:val="en-GB"/>
              </w:rPr>
              <w:t>CBM 1</w:t>
            </w:r>
            <w:bookmarkEnd w:id="4"/>
          </w:p>
        </w:tc>
        <w:tc>
          <w:tcPr>
            <w:tcW w:w="1558" w:type="dxa"/>
            <w:shd w:val="clear" w:color="auto" w:fill="DFF5F9"/>
            <w:vAlign w:val="center"/>
            <w:hideMark/>
          </w:tcPr>
          <w:p w14:paraId="13BC1369" w14:textId="77777777" w:rsidR="00B65D54" w:rsidRPr="00812A7A" w:rsidRDefault="00B65D54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 xml:space="preserve">Dependent on: </w:t>
            </w:r>
          </w:p>
        </w:tc>
        <w:tc>
          <w:tcPr>
            <w:tcW w:w="2833" w:type="dxa"/>
            <w:shd w:val="clear" w:color="auto" w:fill="DFF5F9"/>
            <w:vAlign w:val="center"/>
          </w:tcPr>
          <w:p w14:paraId="31414F21" w14:textId="63847657" w:rsidR="00B65D54" w:rsidRPr="00812A7A" w:rsidRDefault="00B65D54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5" w:type="dxa"/>
            <w:gridSpan w:val="2"/>
            <w:vMerge w:val="restart"/>
            <w:shd w:val="clear" w:color="auto" w:fill="DFF5F9"/>
            <w:vAlign w:val="center"/>
          </w:tcPr>
          <w:p w14:paraId="3185705E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Sub-section</w:t>
            </w:r>
            <w:r w:rsidRPr="00812A7A">
              <w:rPr>
                <w:rFonts w:eastAsia="Times New Roman" w:cs="Arial"/>
                <w:sz w:val="14"/>
                <w:szCs w:val="14"/>
                <w:lang w:eastAsia="en-GB"/>
              </w:rPr>
              <w:t> </w:t>
            </w:r>
          </w:p>
          <w:p w14:paraId="673495A5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675DD06D" w14:textId="6BBCD0A7" w:rsidR="00B65D54" w:rsidRPr="00812A7A" w:rsidRDefault="00B65D54" w:rsidP="00DA1C58">
            <w:pPr>
              <w:jc w:val="center"/>
              <w:rPr>
                <w:sz w:val="18"/>
                <w:szCs w:val="18"/>
              </w:rPr>
            </w:pPr>
            <w:r w:rsidRPr="00812A7A">
              <w:rPr>
                <w:b/>
                <w:bCs/>
                <w:sz w:val="22"/>
                <w:szCs w:val="22"/>
              </w:rPr>
              <w:t>Approach to confidence-building measures</w:t>
            </w:r>
          </w:p>
        </w:tc>
        <w:tc>
          <w:tcPr>
            <w:tcW w:w="1984" w:type="dxa"/>
            <w:vMerge w:val="restart"/>
            <w:shd w:val="clear" w:color="auto" w:fill="DFF5F9"/>
            <w:vAlign w:val="center"/>
            <w:hideMark/>
          </w:tcPr>
          <w:p w14:paraId="1511DE9C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  <w:t>PRI Principle</w:t>
            </w:r>
          </w:p>
          <w:p w14:paraId="6995C78F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32159E54" w14:textId="19B125DE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22"/>
                <w:szCs w:val="22"/>
                <w:lang w:eastAsia="en-GB"/>
              </w:rPr>
              <w:t>6</w:t>
            </w:r>
            <w:r w:rsidRPr="00812A7A">
              <w:rPr>
                <w:rFonts w:eastAsia="Times New Roman" w:cs="Arial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85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267CD24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  <w:t>Type of indicator</w:t>
            </w:r>
          </w:p>
          <w:p w14:paraId="6335A2A3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1BAD28C7" w14:textId="77777777" w:rsidR="00B65D54" w:rsidRPr="00812A7A" w:rsidRDefault="00B65D54" w:rsidP="00DA1C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CORE</w:t>
            </w:r>
          </w:p>
        </w:tc>
      </w:tr>
      <w:tr w:rsidR="00B65D54" w:rsidRPr="00812A7A" w14:paraId="2EB55A66" w14:textId="77777777" w:rsidTr="00F36160">
        <w:trPr>
          <w:gridAfter w:val="1"/>
          <w:wAfter w:w="9" w:type="dxa"/>
          <w:trHeight w:val="400"/>
        </w:trPr>
        <w:tc>
          <w:tcPr>
            <w:tcW w:w="1840" w:type="dxa"/>
            <w:vMerge/>
            <w:shd w:val="clear" w:color="auto" w:fill="DFF5F9"/>
            <w:vAlign w:val="center"/>
          </w:tcPr>
          <w:p w14:paraId="459DF43D" w14:textId="77777777" w:rsidR="00B65D54" w:rsidRPr="00812A7A" w:rsidRDefault="00B65D54" w:rsidP="00AA15CE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8" w:type="dxa"/>
            <w:shd w:val="clear" w:color="auto" w:fill="DFF5F9"/>
            <w:vAlign w:val="center"/>
          </w:tcPr>
          <w:p w14:paraId="57AFA465" w14:textId="14459F51" w:rsidR="00B65D54" w:rsidRPr="00812A7A" w:rsidRDefault="00B65D54" w:rsidP="00AA15CE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Gateway to:</w:t>
            </w:r>
          </w:p>
        </w:tc>
        <w:tc>
          <w:tcPr>
            <w:tcW w:w="2833" w:type="dxa"/>
            <w:shd w:val="clear" w:color="auto" w:fill="DFF5F9"/>
            <w:vAlign w:val="center"/>
          </w:tcPr>
          <w:p w14:paraId="0842A78A" w14:textId="4E7A8BDC" w:rsidR="00B65D54" w:rsidRPr="00812A7A" w:rsidRDefault="00B65D54" w:rsidP="00AA15CE">
            <w:pPr>
              <w:spacing w:line="240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812A7A">
              <w:rPr>
                <w:b/>
                <w:bCs/>
                <w:sz w:val="22"/>
                <w:szCs w:val="22"/>
              </w:rPr>
              <w:t>Multiple indicators</w:t>
            </w:r>
          </w:p>
        </w:tc>
        <w:tc>
          <w:tcPr>
            <w:tcW w:w="4675" w:type="dxa"/>
            <w:gridSpan w:val="2"/>
            <w:vMerge/>
            <w:shd w:val="clear" w:color="auto" w:fill="DFF5F9"/>
            <w:vAlign w:val="center"/>
          </w:tcPr>
          <w:p w14:paraId="0021FB61" w14:textId="77777777" w:rsidR="00B65D54" w:rsidRPr="00812A7A" w:rsidRDefault="00B65D54" w:rsidP="00AA15CE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4" w:type="dxa"/>
            <w:vMerge/>
            <w:shd w:val="clear" w:color="auto" w:fill="DFF5F9"/>
            <w:vAlign w:val="center"/>
          </w:tcPr>
          <w:p w14:paraId="32B56C17" w14:textId="77777777" w:rsidR="00B65D54" w:rsidRPr="00812A7A" w:rsidRDefault="00B65D54" w:rsidP="00AA15CE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5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007C81" w14:textId="77777777" w:rsidR="00B65D54" w:rsidRPr="00812A7A" w:rsidRDefault="00B65D54" w:rsidP="00AA15CE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9417B5" w:rsidRPr="00812A7A" w14:paraId="75952929" w14:textId="77777777" w:rsidTr="00B65D54">
        <w:trPr>
          <w:gridAfter w:val="1"/>
          <w:wAfter w:w="9" w:type="dxa"/>
          <w:trHeight w:val="567"/>
        </w:trPr>
        <w:tc>
          <w:tcPr>
            <w:tcW w:w="14875" w:type="dxa"/>
            <w:gridSpan w:val="7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7638A169" w14:textId="70877AD3" w:rsidR="00E92DD3" w:rsidRPr="00812A7A" w:rsidRDefault="009D1934" w:rsidP="008C1358">
            <w:pPr>
              <w:spacing w:line="276" w:lineRule="auto"/>
              <w:textAlignment w:val="baseline"/>
              <w:rPr>
                <w:rFonts w:eastAsia="Times New Roman" w:cs="Arial"/>
                <w:b/>
                <w:lang w:eastAsia="en-GB"/>
              </w:rPr>
            </w:pPr>
            <w:r w:rsidRPr="00812A7A">
              <w:rPr>
                <w:rFonts w:eastAsia="Times New Roman" w:cs="Arial"/>
                <w:b/>
                <w:lang w:eastAsia="en-GB"/>
              </w:rPr>
              <w:t xml:space="preserve">How </w:t>
            </w:r>
            <w:r w:rsidR="006654FB" w:rsidRPr="00812A7A">
              <w:rPr>
                <w:rFonts w:eastAsia="Times New Roman" w:cs="Arial"/>
                <w:b/>
                <w:lang w:eastAsia="en-GB"/>
              </w:rPr>
              <w:t>did</w:t>
            </w:r>
            <w:r w:rsidRPr="00812A7A">
              <w:rPr>
                <w:rFonts w:eastAsia="Times New Roman" w:cs="Arial"/>
                <w:b/>
                <w:lang w:eastAsia="en-GB"/>
              </w:rPr>
              <w:t xml:space="preserve"> your organisation verif</w:t>
            </w:r>
            <w:r w:rsidR="006654FB" w:rsidRPr="00812A7A">
              <w:rPr>
                <w:rFonts w:eastAsia="Times New Roman" w:cs="Arial"/>
                <w:b/>
                <w:lang w:eastAsia="en-GB"/>
              </w:rPr>
              <w:t>y</w:t>
            </w:r>
            <w:r w:rsidRPr="00812A7A">
              <w:rPr>
                <w:rFonts w:eastAsia="Times New Roman" w:cs="Arial"/>
                <w:b/>
                <w:lang w:eastAsia="en-GB"/>
              </w:rPr>
              <w:t xml:space="preserve"> </w:t>
            </w:r>
            <w:r w:rsidR="008952C7" w:rsidRPr="00812A7A">
              <w:rPr>
                <w:rFonts w:eastAsia="Times New Roman" w:cs="Arial"/>
                <w:b/>
                <w:lang w:eastAsia="en-GB"/>
              </w:rPr>
              <w:t xml:space="preserve">the information </w:t>
            </w:r>
            <w:r w:rsidR="00D37D47" w:rsidRPr="00812A7A">
              <w:rPr>
                <w:rFonts w:eastAsia="Times New Roman" w:cs="Arial"/>
                <w:b/>
                <w:lang w:eastAsia="en-GB"/>
              </w:rPr>
              <w:t xml:space="preserve">submitted </w:t>
            </w:r>
            <w:r w:rsidR="00326E31" w:rsidRPr="00812A7A">
              <w:rPr>
                <w:rFonts w:eastAsia="Times New Roman" w:cs="Arial"/>
                <w:b/>
                <w:lang w:eastAsia="en-GB"/>
              </w:rPr>
              <w:t>in your PRI report</w:t>
            </w:r>
            <w:r w:rsidR="0046122A" w:rsidRPr="00812A7A">
              <w:rPr>
                <w:rFonts w:eastAsia="Times New Roman" w:cs="Arial"/>
                <w:b/>
                <w:lang w:eastAsia="en-GB"/>
              </w:rPr>
              <w:t xml:space="preserve"> </w:t>
            </w:r>
            <w:r w:rsidR="008952C7" w:rsidRPr="00812A7A">
              <w:rPr>
                <w:rFonts w:eastAsia="Times New Roman" w:cs="Arial"/>
                <w:b/>
                <w:lang w:eastAsia="en-GB"/>
              </w:rPr>
              <w:t>this</w:t>
            </w:r>
            <w:r w:rsidR="00691D5E" w:rsidRPr="00812A7A">
              <w:rPr>
                <w:rFonts w:eastAsia="Times New Roman" w:cs="Arial"/>
                <w:b/>
                <w:lang w:eastAsia="en-GB"/>
              </w:rPr>
              <w:t xml:space="preserve"> </w:t>
            </w:r>
            <w:r w:rsidR="0046122A" w:rsidRPr="00812A7A">
              <w:rPr>
                <w:rFonts w:eastAsia="Times New Roman" w:cs="Arial"/>
                <w:b/>
                <w:lang w:eastAsia="en-GB"/>
              </w:rPr>
              <w:t xml:space="preserve">reporting </w:t>
            </w:r>
            <w:r w:rsidR="008952C7" w:rsidRPr="00812A7A">
              <w:rPr>
                <w:rFonts w:eastAsia="Times New Roman" w:cs="Arial"/>
                <w:b/>
                <w:lang w:eastAsia="en-GB"/>
              </w:rPr>
              <w:t>year?</w:t>
            </w:r>
          </w:p>
        </w:tc>
      </w:tr>
      <w:tr w:rsidR="009417B5" w:rsidRPr="00812A7A" w14:paraId="4E55D051" w14:textId="77777777" w:rsidTr="00B65D54">
        <w:trPr>
          <w:gridAfter w:val="1"/>
          <w:wAfter w:w="9" w:type="dxa"/>
          <w:trHeight w:val="465"/>
        </w:trPr>
        <w:tc>
          <w:tcPr>
            <w:tcW w:w="14875" w:type="dxa"/>
            <w:gridSpan w:val="7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26246B9" w14:textId="3B6C11B8" w:rsidR="007D7408" w:rsidRPr="00812A7A" w:rsidRDefault="005E7E1B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(A)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We </w:t>
            </w:r>
            <w:r w:rsidR="00287F25" w:rsidRPr="00812A7A">
              <w:rPr>
                <w:rFonts w:eastAsia="Times New Roman" w:cs="Arial"/>
                <w:szCs w:val="16"/>
                <w:lang w:eastAsia="en-GB"/>
              </w:rPr>
              <w:t xml:space="preserve">conducted </w:t>
            </w:r>
            <w:hyperlink r:id="rId13" w:history="1">
              <w:r w:rsidR="00FF5E05" w:rsidRPr="00F36160">
                <w:rPr>
                  <w:rStyle w:val="Hyperlink"/>
                  <w:rFonts w:eastAsia="Times New Roman" w:cs="Arial"/>
                  <w:color w:val="auto"/>
                  <w:szCs w:val="16"/>
                  <w:lang w:eastAsia="en-GB"/>
                </w:rPr>
                <w:t>independent</w:t>
              </w:r>
              <w:r w:rsidR="00FF5E05">
                <w:rPr>
                  <w:rStyle w:val="Hyperlink"/>
                  <w:rFonts w:eastAsia="Times New Roman" w:cs="Arial"/>
                  <w:szCs w:val="16"/>
                  <w:lang w:eastAsia="en-GB"/>
                </w:rPr>
                <w:t xml:space="preserve"> t</w:t>
              </w:r>
              <w:r w:rsidR="007D7408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>hird</w:t>
              </w:r>
              <w:r w:rsidR="00A25470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>-</w:t>
              </w:r>
              <w:r w:rsidR="007D7408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>party assurance</w:t>
              </w:r>
            </w:hyperlink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of selected processes and/or data related to </w:t>
            </w:r>
            <w:r w:rsidR="00FF5E05">
              <w:rPr>
                <w:rFonts w:eastAsia="Times New Roman" w:cs="Arial"/>
                <w:szCs w:val="16"/>
                <w:lang w:eastAsia="en-GB"/>
              </w:rPr>
              <w:t>the</w:t>
            </w:r>
            <w:r w:rsidR="00FF5E05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>responsible investment processes</w:t>
            </w:r>
            <w:r w:rsidR="007530E4" w:rsidRPr="00812A7A">
              <w:rPr>
                <w:rFonts w:eastAsia="Times New Roman" w:cs="Arial"/>
                <w:szCs w:val="16"/>
                <w:lang w:eastAsia="en-GB"/>
              </w:rPr>
              <w:t xml:space="preserve"> reported in </w:t>
            </w:r>
            <w:r w:rsidR="00360293" w:rsidRPr="00812A7A">
              <w:rPr>
                <w:rFonts w:eastAsia="Times New Roman" w:cs="Arial"/>
                <w:szCs w:val="16"/>
                <w:lang w:eastAsia="en-GB"/>
              </w:rPr>
              <w:t>ou</w:t>
            </w:r>
            <w:r w:rsidR="00360293" w:rsidRPr="00812A7A">
              <w:rPr>
                <w:rFonts w:eastAsia="Times New Roman" w:cs="Arial"/>
                <w:lang w:eastAsia="en-GB"/>
              </w:rPr>
              <w:t>r</w:t>
            </w:r>
            <w:r w:rsidR="007530E4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6C5813" w:rsidRPr="00812A7A">
              <w:rPr>
                <w:rFonts w:eastAsia="Times New Roman" w:cs="Arial"/>
                <w:szCs w:val="16"/>
                <w:lang w:eastAsia="en-GB"/>
              </w:rPr>
              <w:t xml:space="preserve">PRI </w:t>
            </w:r>
            <w:r w:rsidR="007530E4" w:rsidRPr="00812A7A">
              <w:rPr>
                <w:rFonts w:eastAsia="Times New Roman" w:cs="Arial"/>
                <w:szCs w:val="16"/>
                <w:lang w:eastAsia="en-GB"/>
              </w:rPr>
              <w:t>report</w:t>
            </w:r>
            <w:r w:rsidR="00A25470" w:rsidRPr="00812A7A">
              <w:rPr>
                <w:rFonts w:eastAsia="Times New Roman" w:cs="Arial"/>
                <w:szCs w:val="16"/>
                <w:lang w:eastAsia="en-GB"/>
              </w:rPr>
              <w:t>,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which resulted in a formal assurance conclusion</w:t>
            </w:r>
          </w:p>
          <w:p w14:paraId="6F400A42" w14:textId="33CE3E1D" w:rsidR="007D7408" w:rsidRPr="00812A7A" w:rsidRDefault="0023270D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(B)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We conducted a </w:t>
            </w:r>
            <w:r w:rsidR="007D7408" w:rsidRPr="00812A7A" w:rsidDel="00B8666F">
              <w:rPr>
                <w:rFonts w:eastAsia="Times New Roman" w:cs="Arial"/>
                <w:szCs w:val="16"/>
                <w:lang w:eastAsia="en-GB"/>
              </w:rPr>
              <w:t>third</w:t>
            </w:r>
            <w:r w:rsidR="00A25470" w:rsidRPr="00812A7A" w:rsidDel="00B8666F">
              <w:rPr>
                <w:rFonts w:eastAsia="Times New Roman" w:cs="Arial"/>
                <w:szCs w:val="16"/>
                <w:lang w:eastAsia="en-GB"/>
              </w:rPr>
              <w:t>-</w:t>
            </w:r>
            <w:r w:rsidR="007D7408" w:rsidRPr="00812A7A" w:rsidDel="00B8666F">
              <w:rPr>
                <w:rFonts w:eastAsia="Times New Roman" w:cs="Arial"/>
                <w:szCs w:val="16"/>
                <w:lang w:eastAsia="en-GB"/>
              </w:rPr>
              <w:t xml:space="preserve">party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>readiness review and are making changes to our internal controls</w:t>
            </w:r>
            <w:r w:rsidR="0011486C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or </w:t>
            </w:r>
            <w:r w:rsidR="00103DEC" w:rsidRPr="00812A7A">
              <w:rPr>
                <w:rFonts w:eastAsia="Times New Roman" w:cs="Arial"/>
                <w:szCs w:val="16"/>
                <w:lang w:eastAsia="en-GB"/>
              </w:rPr>
              <w:t xml:space="preserve">governance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processes to be able to conduct </w:t>
            </w:r>
            <w:r w:rsidR="00FF5E05">
              <w:rPr>
                <w:rFonts w:eastAsia="Times New Roman" w:cs="Arial"/>
                <w:szCs w:val="16"/>
                <w:lang w:eastAsia="en-GB"/>
              </w:rPr>
              <w:t>independent third-party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assurance next year</w:t>
            </w:r>
          </w:p>
          <w:p w14:paraId="06D68B21" w14:textId="1977E74E" w:rsidR="007D7408" w:rsidRPr="00812A7A" w:rsidRDefault="00FE2207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(C)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36710B">
              <w:rPr>
                <w:rFonts w:eastAsia="Times New Roman" w:cs="Arial"/>
                <w:szCs w:val="16"/>
                <w:lang w:eastAsia="en-GB"/>
              </w:rPr>
              <w:t>We conducted an</w:t>
            </w:r>
            <w:r w:rsidR="0036710B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hyperlink r:id="rId14" w:history="1">
              <w:r w:rsidR="007D7408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>internal audit</w:t>
              </w:r>
            </w:hyperlink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of selected processes</w:t>
            </w:r>
            <w:r w:rsidR="0036710B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>and</w:t>
            </w:r>
            <w:r w:rsidR="0036710B">
              <w:rPr>
                <w:rFonts w:eastAsia="Times New Roman" w:cs="Arial"/>
                <w:szCs w:val="16"/>
                <w:lang w:eastAsia="en-GB"/>
              </w:rPr>
              <w:t>/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or data related to </w:t>
            </w:r>
            <w:r w:rsidR="0036710B">
              <w:rPr>
                <w:rFonts w:eastAsia="Times New Roman" w:cs="Arial"/>
                <w:szCs w:val="16"/>
                <w:lang w:eastAsia="en-GB"/>
              </w:rPr>
              <w:t>the</w:t>
            </w:r>
            <w:r w:rsidR="0036710B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responsible investment processes reported in </w:t>
            </w:r>
            <w:r w:rsidR="00DF3B54" w:rsidRPr="00812A7A">
              <w:rPr>
                <w:rFonts w:eastAsia="Times New Roman" w:cs="Arial"/>
                <w:szCs w:val="16"/>
                <w:lang w:eastAsia="en-GB"/>
              </w:rPr>
              <w:t>o</w:t>
            </w:r>
            <w:r w:rsidR="00DF3B54" w:rsidRPr="00812A7A">
              <w:rPr>
                <w:rFonts w:eastAsia="Times New Roman" w:cs="Arial"/>
                <w:lang w:eastAsia="en-GB"/>
              </w:rPr>
              <w:t>ur</w:t>
            </w:r>
            <w:r w:rsidR="00DF3B54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>PRI report</w:t>
            </w:r>
          </w:p>
          <w:p w14:paraId="6FA41BEB" w14:textId="06F37366" w:rsidR="007D7408" w:rsidRPr="00812A7A" w:rsidRDefault="0023270D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(D)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Our board,</w:t>
            </w:r>
            <w:r w:rsidR="006359F2" w:rsidRPr="00812A7A">
              <w:rPr>
                <w:rFonts w:eastAsia="Times New Roman" w:cs="Arial"/>
                <w:szCs w:val="16"/>
                <w:lang w:eastAsia="en-GB"/>
              </w:rPr>
              <w:t xml:space="preserve"> trustees (or equivalent),</w:t>
            </w:r>
            <w:r w:rsidR="0068535A" w:rsidRPr="00812A7A">
              <w:rPr>
                <w:rFonts w:eastAsia="Times New Roman" w:cs="Arial"/>
                <w:szCs w:val="16"/>
                <w:lang w:eastAsia="en-GB"/>
              </w:rPr>
              <w:t xml:space="preserve"> senior executive-level staff (or equivalent),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and/or </w:t>
            </w:r>
            <w:hyperlink r:id="rId15" w:history="1">
              <w:r w:rsidR="007D7408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>investment committee</w:t>
              </w:r>
            </w:hyperlink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AD5B72" w:rsidRPr="00812A7A">
              <w:rPr>
                <w:rFonts w:eastAsia="Times New Roman" w:cs="Arial"/>
                <w:szCs w:val="16"/>
                <w:lang w:eastAsia="en-GB"/>
              </w:rPr>
              <w:t xml:space="preserve">(or equivalent)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signed off </w:t>
            </w:r>
            <w:r w:rsidR="0036710B">
              <w:rPr>
                <w:rFonts w:eastAsia="Times New Roman" w:cs="Arial"/>
                <w:szCs w:val="16"/>
                <w:lang w:eastAsia="en-GB"/>
              </w:rPr>
              <w:t xml:space="preserve">on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>our PRI report</w:t>
            </w:r>
          </w:p>
          <w:p w14:paraId="6AF832CF" w14:textId="27F158EE" w:rsidR="007D7408" w:rsidRPr="00812A7A" w:rsidRDefault="0023270D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B60857" w:rsidRPr="00812A7A">
              <w:rPr>
                <w:rFonts w:eastAsia="Times New Roman" w:cs="Arial"/>
                <w:szCs w:val="16"/>
                <w:lang w:eastAsia="en-GB"/>
              </w:rPr>
              <w:t>E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)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We conducted an external </w:t>
            </w:r>
            <w:hyperlink r:id="rId16" w:history="1">
              <w:r w:rsidR="007D7408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>ESG audit</w:t>
              </w:r>
            </w:hyperlink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of our holdings to </w:t>
            </w:r>
            <w:r w:rsidR="0036710B">
              <w:rPr>
                <w:rFonts w:eastAsia="Times New Roman" w:cs="Arial"/>
                <w:szCs w:val="16"/>
                <w:lang w:eastAsia="en-GB"/>
              </w:rPr>
              <w:t>verify</w:t>
            </w:r>
            <w:r w:rsidR="0036710B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that our funds comply with our </w:t>
            </w:r>
            <w:hyperlink r:id="rId17" w:history="1">
              <w:r w:rsidR="004D5FDE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>r</w:t>
              </w:r>
              <w:r w:rsidR="004D5FDE" w:rsidRPr="00812A7A">
                <w:rPr>
                  <w:rStyle w:val="Hyperlink"/>
                </w:rPr>
                <w:t>esponsible investment</w:t>
              </w:r>
              <w:r w:rsidR="007D7408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 xml:space="preserve"> policy</w:t>
              </w:r>
            </w:hyperlink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</w:p>
          <w:p w14:paraId="4EC20CC9" w14:textId="4E6B3EAF" w:rsidR="007D7408" w:rsidRPr="00812A7A" w:rsidRDefault="0023270D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B60857" w:rsidRPr="00812A7A">
              <w:rPr>
                <w:rFonts w:eastAsia="Times New Roman" w:cs="Arial"/>
                <w:szCs w:val="16"/>
                <w:lang w:eastAsia="en-GB"/>
              </w:rPr>
              <w:t>F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)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We conducted an external ESG audit of our holdings as part of </w:t>
            </w:r>
            <w:hyperlink r:id="rId18" w:history="1">
              <w:r w:rsidR="007D7408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>risk management</w:t>
              </w:r>
            </w:hyperlink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, </w:t>
            </w:r>
            <w:hyperlink r:id="rId19" w:history="1">
              <w:r w:rsidR="007D7408" w:rsidRPr="00812A7A">
                <w:rPr>
                  <w:rStyle w:val="Hyperlink"/>
                  <w:rFonts w:eastAsia="Times New Roman" w:cs="Arial"/>
                  <w:szCs w:val="16"/>
                  <w:lang w:eastAsia="en-GB"/>
                </w:rPr>
                <w:t>engagement</w:t>
              </w:r>
            </w:hyperlink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identification or investment decision</w:t>
            </w:r>
            <w:r w:rsidR="00F076FD" w:rsidRPr="00812A7A">
              <w:rPr>
                <w:rFonts w:eastAsia="Times New Roman" w:cs="Arial"/>
                <w:szCs w:val="16"/>
                <w:lang w:eastAsia="en-GB"/>
              </w:rPr>
              <w:t>-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>making</w:t>
            </w:r>
          </w:p>
          <w:p w14:paraId="05714FEB" w14:textId="6FAE6D16" w:rsidR="007D7408" w:rsidRPr="00812A7A" w:rsidRDefault="0023270D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B60857" w:rsidRPr="00812A7A">
              <w:rPr>
                <w:rFonts w:eastAsia="Times New Roman" w:cs="Arial"/>
                <w:szCs w:val="16"/>
                <w:lang w:eastAsia="en-GB"/>
              </w:rPr>
              <w:t>G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)</w:t>
            </w:r>
            <w:r w:rsidR="0054091E" w:rsidRPr="00812A7A">
              <w:rPr>
                <w:rFonts w:eastAsia="Times New Roman" w:cs="Arial"/>
                <w:szCs w:val="16"/>
                <w:lang w:eastAsia="en-GB"/>
              </w:rPr>
              <w:t xml:space="preserve"> Our r</w:t>
            </w:r>
            <w:r w:rsidR="009A1685" w:rsidRPr="00812A7A">
              <w:rPr>
                <w:rFonts w:eastAsia="Times New Roman" w:cs="Arial"/>
                <w:szCs w:val="16"/>
                <w:lang w:eastAsia="en-GB"/>
              </w:rPr>
              <w:t>esponse</w:t>
            </w:r>
            <w:r w:rsidR="00FA6449" w:rsidRPr="00812A7A">
              <w:rPr>
                <w:rFonts w:eastAsia="Times New Roman" w:cs="Arial"/>
                <w:szCs w:val="16"/>
                <w:lang w:eastAsia="en-GB"/>
              </w:rPr>
              <w:t>s</w:t>
            </w:r>
            <w:r w:rsidR="00A07F1D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C465E2" w:rsidRPr="00812A7A">
              <w:rPr>
                <w:rFonts w:eastAsia="Times New Roman" w:cs="Arial"/>
                <w:szCs w:val="16"/>
                <w:lang w:eastAsia="en-GB"/>
              </w:rPr>
              <w:t>i</w:t>
            </w:r>
            <w:r w:rsidR="00C465E2" w:rsidRPr="00812A7A">
              <w:rPr>
                <w:rFonts w:eastAsia="Times New Roman" w:cs="Arial"/>
                <w:lang w:eastAsia="en-GB"/>
              </w:rPr>
              <w:t xml:space="preserve">n </w:t>
            </w:r>
            <w:r w:rsidR="00BA729A" w:rsidRPr="00812A7A">
              <w:rPr>
                <w:rFonts w:eastAsia="Times New Roman" w:cs="Arial"/>
                <w:szCs w:val="16"/>
                <w:lang w:eastAsia="en-GB"/>
              </w:rPr>
              <w:t xml:space="preserve">selected sections and/or </w:t>
            </w:r>
            <w:r w:rsidR="009A2EC4" w:rsidRPr="00812A7A">
              <w:rPr>
                <w:rFonts w:eastAsia="Times New Roman" w:cs="Arial"/>
                <w:szCs w:val="16"/>
                <w:lang w:eastAsia="en-GB"/>
              </w:rPr>
              <w:t xml:space="preserve">the entirety </w:t>
            </w:r>
            <w:r w:rsidR="005C5519" w:rsidRPr="00812A7A">
              <w:rPr>
                <w:rFonts w:eastAsia="Times New Roman" w:cs="Arial"/>
                <w:szCs w:val="16"/>
                <w:lang w:eastAsia="en-GB"/>
              </w:rPr>
              <w:t xml:space="preserve">of </w:t>
            </w:r>
            <w:r w:rsidR="00A07F1D" w:rsidRPr="00812A7A">
              <w:rPr>
                <w:rFonts w:eastAsia="Times New Roman" w:cs="Arial"/>
                <w:szCs w:val="16"/>
                <w:lang w:eastAsia="en-GB"/>
              </w:rPr>
              <w:t>our PRI report w</w:t>
            </w:r>
            <w:r w:rsidR="00AA33BB" w:rsidRPr="00812A7A">
              <w:rPr>
                <w:rFonts w:eastAsia="Times New Roman" w:cs="Arial"/>
                <w:szCs w:val="16"/>
                <w:lang w:eastAsia="en-GB"/>
              </w:rPr>
              <w:t>e</w:t>
            </w:r>
            <w:r w:rsidR="00AA33BB" w:rsidRPr="00812A7A">
              <w:rPr>
                <w:rFonts w:eastAsia="Times New Roman" w:cs="Arial"/>
                <w:lang w:eastAsia="en-GB"/>
              </w:rPr>
              <w:t>re</w:t>
            </w:r>
            <w:r w:rsidR="00A71D59" w:rsidRPr="00812A7A">
              <w:rPr>
                <w:rFonts w:eastAsia="Times New Roman" w:cs="Arial"/>
                <w:szCs w:val="16"/>
                <w:lang w:eastAsia="en-GB"/>
              </w:rPr>
              <w:t xml:space="preserve"> internally reviewed before submission to the PRI</w:t>
            </w:r>
            <w:r w:rsidR="005F77FC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</w:p>
          <w:p w14:paraId="392EFE7B" w14:textId="120DBB6A" w:rsidR="009417B5" w:rsidRPr="00812A7A" w:rsidRDefault="0023270D" w:rsidP="00587E76">
            <w:pPr>
              <w:numPr>
                <w:ilvl w:val="0"/>
                <w:numId w:val="60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B60857" w:rsidRPr="00812A7A">
              <w:rPr>
                <w:rFonts w:eastAsia="Times New Roman" w:cs="Arial"/>
                <w:szCs w:val="16"/>
                <w:lang w:eastAsia="en-GB"/>
              </w:rPr>
              <w:t>H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)</w:t>
            </w:r>
            <w:r w:rsidR="007D7408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1650A5" w:rsidRPr="00812A7A">
              <w:rPr>
                <w:rFonts w:eastAsia="Times New Roman" w:cs="Arial"/>
                <w:szCs w:val="16"/>
                <w:lang w:eastAsia="en-GB"/>
              </w:rPr>
              <w:t>We</w:t>
            </w:r>
            <w:r w:rsidR="001650A5" w:rsidRPr="00812A7A">
              <w:rPr>
                <w:rFonts w:eastAsia="Times New Roman" w:cs="Arial"/>
                <w:lang w:eastAsia="en-GB"/>
              </w:rPr>
              <w:t xml:space="preserve"> </w:t>
            </w:r>
            <w:r w:rsidR="001610A6" w:rsidRPr="00812A7A">
              <w:rPr>
                <w:rFonts w:eastAsia="Times New Roman" w:cs="Arial"/>
                <w:lang w:eastAsia="en-GB"/>
              </w:rPr>
              <w:t>did</w:t>
            </w:r>
            <w:r w:rsidR="001650A5" w:rsidRPr="00812A7A">
              <w:rPr>
                <w:rFonts w:eastAsia="Times New Roman" w:cs="Arial"/>
                <w:lang w:eastAsia="en-GB"/>
              </w:rPr>
              <w:t xml:space="preserve"> not </w:t>
            </w:r>
            <w:r w:rsidR="00BC0993" w:rsidRPr="00812A7A">
              <w:rPr>
                <w:rFonts w:eastAsia="Times New Roman" w:cs="Arial"/>
                <w:lang w:eastAsia="en-GB"/>
              </w:rPr>
              <w:t>verif</w:t>
            </w:r>
            <w:r w:rsidR="001610A6" w:rsidRPr="00812A7A">
              <w:rPr>
                <w:rFonts w:eastAsia="Times New Roman" w:cs="Arial"/>
                <w:lang w:eastAsia="en-GB"/>
              </w:rPr>
              <w:t>y</w:t>
            </w:r>
            <w:r w:rsidR="00ED6F97" w:rsidRPr="00812A7A">
              <w:rPr>
                <w:rFonts w:eastAsia="Times New Roman" w:cs="Arial"/>
                <w:lang w:eastAsia="en-GB"/>
              </w:rPr>
              <w:t xml:space="preserve"> the information </w:t>
            </w:r>
            <w:r w:rsidR="001610A6" w:rsidRPr="00812A7A">
              <w:rPr>
                <w:rFonts w:eastAsia="Times New Roman" w:cs="Arial"/>
                <w:lang w:eastAsia="en-GB"/>
              </w:rPr>
              <w:t>submitted</w:t>
            </w:r>
            <w:r w:rsidR="00ED6F97" w:rsidRPr="00812A7A">
              <w:rPr>
                <w:rFonts w:eastAsia="Times New Roman" w:cs="Arial"/>
                <w:lang w:eastAsia="en-GB"/>
              </w:rPr>
              <w:t xml:space="preserve"> in our PRI </w:t>
            </w:r>
            <w:r w:rsidR="00DA6706" w:rsidRPr="00812A7A">
              <w:rPr>
                <w:rFonts w:eastAsia="Times New Roman" w:cs="Arial"/>
                <w:lang w:eastAsia="en-GB"/>
              </w:rPr>
              <w:t>report</w:t>
            </w:r>
            <w:r w:rsidR="00ED6F97" w:rsidRPr="00812A7A">
              <w:rPr>
                <w:rFonts w:eastAsia="Times New Roman" w:cs="Arial"/>
                <w:lang w:eastAsia="en-GB"/>
              </w:rPr>
              <w:t xml:space="preserve"> this</w:t>
            </w:r>
            <w:r w:rsidR="002D0136" w:rsidRPr="00812A7A">
              <w:rPr>
                <w:rFonts w:eastAsia="Times New Roman" w:cs="Arial"/>
                <w:lang w:eastAsia="en-GB"/>
              </w:rPr>
              <w:t xml:space="preserve"> reporting</w:t>
            </w:r>
            <w:r w:rsidR="00ED6F97" w:rsidRPr="00812A7A">
              <w:rPr>
                <w:rFonts w:eastAsia="Times New Roman" w:cs="Arial"/>
                <w:lang w:eastAsia="en-GB"/>
              </w:rPr>
              <w:t xml:space="preserve"> year</w:t>
            </w:r>
          </w:p>
          <w:p w14:paraId="7658F903" w14:textId="1CA0A4CE" w:rsidR="005C3FC5" w:rsidRPr="00812A7A" w:rsidRDefault="005C3FC5" w:rsidP="006C6C71">
            <w:pPr>
              <w:spacing w:line="276" w:lineRule="auto"/>
              <w:ind w:left="360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lang w:eastAsia="en-GB"/>
              </w:rPr>
              <w:t>Explain why: _____ [Mandatory free text: medium</w:t>
            </w:r>
            <w:r w:rsidR="00CE6DAC" w:rsidRPr="00812A7A">
              <w:rPr>
                <w:rFonts w:eastAsia="Times New Roman" w:cs="Arial"/>
                <w:lang w:eastAsia="en-GB"/>
              </w:rPr>
              <w:t>]</w:t>
            </w:r>
          </w:p>
        </w:tc>
      </w:tr>
      <w:tr w:rsidR="009417B5" w:rsidRPr="00812A7A" w14:paraId="32BAD19F" w14:textId="77777777" w:rsidTr="00B65D54">
        <w:trPr>
          <w:gridAfter w:val="1"/>
          <w:wAfter w:w="9" w:type="dxa"/>
          <w:trHeight w:val="300"/>
        </w:trPr>
        <w:tc>
          <w:tcPr>
            <w:tcW w:w="14875" w:type="dxa"/>
            <w:gridSpan w:val="7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4D258060" w14:textId="77777777" w:rsidR="009417B5" w:rsidRPr="00812A7A" w:rsidRDefault="009417B5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9417B5" w:rsidRPr="00812A7A" w14:paraId="160C3B0E" w14:textId="77777777" w:rsidTr="00B65D54">
        <w:trPr>
          <w:gridAfter w:val="1"/>
          <w:wAfter w:w="9" w:type="dxa"/>
          <w:trHeight w:val="300"/>
        </w:trPr>
        <w:tc>
          <w:tcPr>
            <w:tcW w:w="14875" w:type="dxa"/>
            <w:gridSpan w:val="7"/>
            <w:shd w:val="clear" w:color="auto" w:fill="0070C0"/>
            <w:vAlign w:val="center"/>
          </w:tcPr>
          <w:p w14:paraId="44088612" w14:textId="77777777" w:rsidR="009417B5" w:rsidRPr="00812A7A" w:rsidRDefault="009417B5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Explanatory notes</w:t>
            </w:r>
          </w:p>
        </w:tc>
      </w:tr>
      <w:tr w:rsidR="009417B5" w:rsidRPr="00812A7A" w14:paraId="19A7F979" w14:textId="77777777" w:rsidTr="00B65D54">
        <w:trPr>
          <w:gridAfter w:val="1"/>
          <w:wAfter w:w="9" w:type="dxa"/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6E424BBE" w14:textId="77777777" w:rsidR="009417B5" w:rsidRPr="00812A7A" w:rsidRDefault="009417B5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Purpose of indicator</w:t>
            </w:r>
          </w:p>
        </w:tc>
        <w:tc>
          <w:tcPr>
            <w:tcW w:w="13035" w:type="dxa"/>
            <w:gridSpan w:val="6"/>
            <w:shd w:val="clear" w:color="auto" w:fill="auto"/>
            <w:vAlign w:val="center"/>
          </w:tcPr>
          <w:p w14:paraId="0060B90E" w14:textId="7E18A41B" w:rsidR="009417B5" w:rsidRPr="00812A7A" w:rsidRDefault="009417B5" w:rsidP="00005164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The PRI aims to increase signatories</w:t>
            </w:r>
            <w:r w:rsidR="000518F4" w:rsidRPr="00812A7A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account</w:t>
            </w:r>
            <w:r w:rsidR="00EA737F" w:rsidRPr="00812A7A">
              <w:rPr>
                <w:rStyle w:val="Hyperlink"/>
                <w:color w:val="000000" w:themeColor="text1"/>
                <w:sz w:val="16"/>
                <w:szCs w:val="16"/>
              </w:rPr>
              <w:t>ability as part of its 10</w:t>
            </w:r>
            <w:r w:rsidR="00F076FD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="00EA737F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year </w:t>
            </w:r>
            <w:hyperlink r:id="rId20" w:history="1">
              <w:r w:rsidRPr="00812A7A">
                <w:rPr>
                  <w:rStyle w:val="Hyperlink"/>
                  <w:sz w:val="16"/>
                  <w:szCs w:val="16"/>
                </w:rPr>
                <w:t>Bluepri</w:t>
              </w:r>
              <w:r w:rsidR="00EA737F" w:rsidRPr="00812A7A">
                <w:rPr>
                  <w:rStyle w:val="Hyperlink"/>
                  <w:sz w:val="16"/>
                  <w:szCs w:val="16"/>
                </w:rPr>
                <w:t>nt for Responsible Investment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 Undertaking confidence</w:t>
            </w:r>
            <w:r w:rsidR="00F076FD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building measures will enhance the credibility of 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 xml:space="preserve">the 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>signator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>ies’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ESG disclosures to the PRI in this submission, their reporting to clients or beneficiaries and elsewhere.</w:t>
            </w:r>
            <w:r w:rsidR="00981EB2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005164" w:rsidRPr="00812A7A">
              <w:rPr>
                <w:rStyle w:val="Hyperlink"/>
                <w:color w:val="000000" w:themeColor="text1"/>
                <w:sz w:val="16"/>
                <w:szCs w:val="16"/>
              </w:rPr>
              <w:t>External third-party assurance is the strongest, most impartial and most credible confidence-building measure.</w:t>
            </w:r>
          </w:p>
        </w:tc>
      </w:tr>
      <w:tr w:rsidR="009417B5" w:rsidRPr="00812A7A" w14:paraId="3F531CBC" w14:textId="77777777" w:rsidTr="00B65D54">
        <w:trPr>
          <w:gridAfter w:val="1"/>
          <w:wAfter w:w="9" w:type="dxa"/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5C1A50F4" w14:textId="77777777" w:rsidR="009417B5" w:rsidRPr="00812A7A" w:rsidRDefault="009417B5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Additional reporting guidance</w:t>
            </w:r>
          </w:p>
        </w:tc>
        <w:tc>
          <w:tcPr>
            <w:tcW w:w="13035" w:type="dxa"/>
            <w:gridSpan w:val="6"/>
            <w:shd w:val="clear" w:color="auto" w:fill="auto"/>
            <w:vAlign w:val="center"/>
          </w:tcPr>
          <w:p w14:paraId="468076A4" w14:textId="05D54BE1" w:rsidR="009417B5" w:rsidRPr="00812A7A" w:rsidRDefault="009417B5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Signatories should select the appropriate external assurance or internal audit </w:t>
            </w:r>
            <w:r w:rsidR="00D453D4">
              <w:rPr>
                <w:rStyle w:val="Hyperlink"/>
                <w:color w:val="000000" w:themeColor="text1"/>
                <w:sz w:val="16"/>
                <w:szCs w:val="16"/>
              </w:rPr>
              <w:t xml:space="preserve">answer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option(s) if they used assured or internally audited information</w:t>
            </w:r>
            <w:r w:rsidR="00F076FD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respectively</w:t>
            </w:r>
            <w:r w:rsidR="00F076FD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in their submission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s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to the PRI for this reporting year, excluding the Organisational Overview module. Follow-up indicators will prompt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signatories to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detail what was assured or audited.</w:t>
            </w:r>
            <w:r w:rsidR="00F03F4E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F03F4E" w:rsidRPr="00812A7A">
              <w:rPr>
                <w:rStyle w:val="Hyperlink"/>
                <w:color w:val="000000" w:themeColor="text1"/>
                <w:sz w:val="16"/>
                <w:szCs w:val="16"/>
              </w:rPr>
              <w:lastRenderedPageBreak/>
              <w:t xml:space="preserve">Although external third-party assurance is the strongest, most impartial and </w:t>
            </w:r>
            <w:r w:rsidR="00572EE6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most </w:t>
            </w:r>
            <w:r w:rsidR="00F03F4E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credible confidence-building measure, </w:t>
            </w:r>
            <w:r w:rsidR="006E789C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not selecting </w:t>
            </w:r>
            <w:r w:rsidR="00D453D4">
              <w:rPr>
                <w:rStyle w:val="Hyperlink"/>
                <w:color w:val="000000" w:themeColor="text1"/>
                <w:sz w:val="16"/>
                <w:szCs w:val="16"/>
              </w:rPr>
              <w:t xml:space="preserve">answer </w:t>
            </w:r>
            <w:r w:rsidR="006E789C" w:rsidRPr="00812A7A">
              <w:rPr>
                <w:rStyle w:val="Hyperlink"/>
                <w:color w:val="000000" w:themeColor="text1"/>
                <w:sz w:val="16"/>
                <w:szCs w:val="16"/>
              </w:rPr>
              <w:t>options (A)</w:t>
            </w:r>
            <w:r w:rsidR="002E5E53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(conducting third-party assurance)</w:t>
            </w:r>
            <w:r w:rsidR="006E789C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or (B) </w:t>
            </w:r>
            <w:r w:rsidR="002E5E53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(readiness review) </w:t>
            </w:r>
            <w:r w:rsidR="006E789C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carries no disadvantage in assessment. </w:t>
            </w:r>
          </w:p>
          <w:p w14:paraId="49544EB7" w14:textId="77777777" w:rsidR="009417B5" w:rsidRPr="00812A7A" w:rsidRDefault="009417B5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5D653A32" w14:textId="59AFEBED" w:rsidR="0036710B" w:rsidRPr="0036710B" w:rsidRDefault="009417B5" w:rsidP="00F36160">
            <w:pPr>
              <w:spacing w:after="120"/>
              <w:rPr>
                <w:rStyle w:val="Hyperlink"/>
                <w:color w:val="000000" w:themeColor="text1"/>
                <w:sz w:val="16"/>
                <w:szCs w:val="16"/>
              </w:rPr>
            </w:pPr>
            <w:r w:rsidRPr="0009075B">
              <w:rPr>
                <w:rStyle w:val="Hyperlink"/>
                <w:color w:val="000000" w:themeColor="text1"/>
                <w:sz w:val="16"/>
                <w:szCs w:val="16"/>
              </w:rPr>
              <w:t>When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 responding to this indicator, signatories should 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  <w:u w:val="single"/>
              </w:rPr>
              <w:t>not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 take into account any of the following practices</w:t>
            </w:r>
            <w:r w:rsidR="001123BE" w:rsidRP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1123BE" w:rsidRPr="0036710B">
              <w:rPr>
                <w:rStyle w:val="Hyperlink"/>
                <w:color w:val="000000" w:themeColor="text1"/>
                <w:sz w:val="16"/>
              </w:rPr>
              <w:t xml:space="preserve">as these are not considered relevant 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for this </w:t>
            </w:r>
            <w:r w:rsidR="0036710B" w:rsidRPr="0036710B">
              <w:rPr>
                <w:rStyle w:val="Hyperlink"/>
                <w:color w:val="000000" w:themeColor="text1"/>
                <w:sz w:val="16"/>
                <w:szCs w:val="16"/>
              </w:rPr>
              <w:t>indicator: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</w:p>
          <w:p w14:paraId="6CB1E8DB" w14:textId="3D39C47C" w:rsidR="0036710B" w:rsidRPr="0009075B" w:rsidRDefault="009417B5" w:rsidP="00F36160">
            <w:pPr>
              <w:pStyle w:val="ListParagraph"/>
              <w:numPr>
                <w:ilvl w:val="0"/>
                <w:numId w:val="106"/>
              </w:numPr>
              <w:spacing w:after="120"/>
              <w:contextualSpacing w:val="0"/>
              <w:rPr>
                <w:rStyle w:val="Hyperlink"/>
                <w:color w:val="000000" w:themeColor="text1"/>
                <w:sz w:val="16"/>
                <w:szCs w:val="16"/>
              </w:rPr>
            </w:pP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>Third</w:t>
            </w:r>
            <w:r w:rsidR="00F076FD" w:rsidRPr="0036710B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party assistance in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data preparation;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F076FD" w:rsidRPr="0036710B">
              <w:rPr>
                <w:rStyle w:val="Hyperlink"/>
                <w:color w:val="000000" w:themeColor="text1"/>
                <w:sz w:val="16"/>
                <w:szCs w:val="16"/>
              </w:rPr>
              <w:t>f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>or instance, if a consultant helped compile the report. Audit standards typically preclude the preparer of any report from auditing it to preserve their independence.</w:t>
            </w:r>
          </w:p>
          <w:p w14:paraId="216254A3" w14:textId="3A8B318B" w:rsidR="00222402" w:rsidRPr="0009075B" w:rsidRDefault="009417B5" w:rsidP="00F36160">
            <w:pPr>
              <w:pStyle w:val="ListParagraph"/>
              <w:numPr>
                <w:ilvl w:val="0"/>
                <w:numId w:val="106"/>
              </w:num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>Receipt of data from a third party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;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F076FD" w:rsidRPr="0036710B">
              <w:rPr>
                <w:rStyle w:val="Hyperlink"/>
                <w:color w:val="000000" w:themeColor="text1"/>
                <w:sz w:val="16"/>
                <w:szCs w:val="16"/>
              </w:rPr>
              <w:t>f</w:t>
            </w:r>
            <w:r w:rsidRPr="0036710B">
              <w:rPr>
                <w:rStyle w:val="Hyperlink"/>
                <w:color w:val="000000" w:themeColor="text1"/>
                <w:sz w:val="16"/>
                <w:szCs w:val="16"/>
              </w:rPr>
              <w:t>or instance, if some or all of the data had been received from a third party (e.g. a voting provider).</w:t>
            </w:r>
          </w:p>
          <w:p w14:paraId="69C9ED7C" w14:textId="77777777" w:rsidR="00111D40" w:rsidRPr="00812A7A" w:rsidRDefault="00111D40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29856A39" w14:textId="0840860B" w:rsidR="00111D40" w:rsidRPr="00812A7A" w:rsidRDefault="00111D40" w:rsidP="00111D40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In </w:t>
            </w:r>
            <w:r w:rsidR="00D453D4">
              <w:rPr>
                <w:rStyle w:val="Hyperlink"/>
                <w:color w:val="000000" w:themeColor="text1"/>
                <w:sz w:val="16"/>
                <w:szCs w:val="16"/>
              </w:rPr>
              <w:t xml:space="preserve">answer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option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(C), </w:t>
            </w:r>
            <w:r w:rsidR="00A67E66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an alternative to an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="00A67E66" w:rsidRPr="00812A7A">
              <w:rPr>
                <w:rStyle w:val="Hyperlink"/>
                <w:color w:val="000000" w:themeColor="text1"/>
                <w:sz w:val="16"/>
                <w:szCs w:val="16"/>
              </w:rPr>
              <w:t>internal audit function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A67E66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can be an outsourced internal auditor. </w:t>
            </w:r>
          </w:p>
          <w:p w14:paraId="0E254FC4" w14:textId="77777777" w:rsidR="00447059" w:rsidRPr="00812A7A" w:rsidRDefault="00447059" w:rsidP="00111D40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7B5C2A2A" w14:textId="166103AD" w:rsidR="00447059" w:rsidRPr="00812A7A" w:rsidRDefault="00447059" w:rsidP="00447059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In </w:t>
            </w:r>
            <w:r w:rsidR="00D453D4">
              <w:rPr>
                <w:rStyle w:val="Hyperlink"/>
                <w:color w:val="000000" w:themeColor="text1"/>
                <w:sz w:val="16"/>
                <w:szCs w:val="16"/>
              </w:rPr>
              <w:t xml:space="preserve">answer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option (D),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Senior executive-level staff, or equivalent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may include, for example, the signatory organisation’s Chief Executive Officer (CEO), Chief Investment Officer (CIO)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Chief Operating Officer (COO), or its partners in the case of private equity funds. </w:t>
            </w:r>
          </w:p>
          <w:p w14:paraId="19CA7915" w14:textId="77777777" w:rsidR="00447059" w:rsidRPr="00812A7A" w:rsidRDefault="00447059" w:rsidP="00447059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0793DCCB" w14:textId="23D34ADA" w:rsidR="00447059" w:rsidRPr="00812A7A" w:rsidRDefault="0036710B" w:rsidP="00447059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="00447059" w:rsidRPr="00812A7A">
              <w:rPr>
                <w:rStyle w:val="Hyperlink"/>
                <w:color w:val="000000" w:themeColor="text1"/>
                <w:sz w:val="16"/>
                <w:szCs w:val="16"/>
              </w:rPr>
              <w:t>Investment committee, or equivalent</w:t>
            </w:r>
            <w:r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447059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may include, for example, risk committees or ESG committees. </w:t>
            </w:r>
          </w:p>
          <w:p w14:paraId="4E8A1A22" w14:textId="77777777" w:rsidR="00447059" w:rsidRPr="00812A7A" w:rsidRDefault="00447059" w:rsidP="00447059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231961A5" w14:textId="49B7D4B6" w:rsidR="00447059" w:rsidRPr="00812A7A" w:rsidRDefault="0036710B" w:rsidP="0044705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="00447059" w:rsidRPr="00812A7A">
              <w:rPr>
                <w:rStyle w:val="Hyperlink"/>
                <w:color w:val="000000" w:themeColor="text1"/>
                <w:sz w:val="16"/>
                <w:szCs w:val="16"/>
              </w:rPr>
              <w:t>Head of department, or equivalent</w:t>
            </w:r>
            <w:r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447059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may refer to senior </w:t>
            </w:r>
            <w:r>
              <w:rPr>
                <w:rStyle w:val="Hyperlink"/>
                <w:color w:val="000000" w:themeColor="text1"/>
                <w:sz w:val="16"/>
                <w:szCs w:val="16"/>
              </w:rPr>
              <w:t xml:space="preserve">staff </w:t>
            </w:r>
            <w:r w:rsidR="00447059" w:rsidRPr="00812A7A">
              <w:rPr>
                <w:rStyle w:val="Hyperlink"/>
                <w:color w:val="000000" w:themeColor="text1"/>
                <w:sz w:val="16"/>
                <w:szCs w:val="16"/>
              </w:rPr>
              <w:t>members who manage entire divisions or teams within the signatory organisation.</w:t>
            </w:r>
            <w:r w:rsidR="00447059" w:rsidRPr="00812A7A">
              <w:rPr>
                <w:rStyle w:val="Hyperlink"/>
                <w:color w:val="000000" w:themeColor="text1"/>
              </w:rPr>
              <w:t> </w:t>
            </w:r>
          </w:p>
          <w:p w14:paraId="76C6B302" w14:textId="77777777" w:rsidR="00222402" w:rsidRPr="00812A7A" w:rsidRDefault="00222402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25CA74B9" w14:textId="3BA643A9" w:rsidR="009B6BC8" w:rsidRPr="00812A7A" w:rsidRDefault="00222402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In </w:t>
            </w:r>
            <w:r w:rsidR="00D453D4">
              <w:rPr>
                <w:rStyle w:val="Hyperlink"/>
                <w:color w:val="000000" w:themeColor="text1"/>
                <w:sz w:val="16"/>
                <w:szCs w:val="16"/>
              </w:rPr>
              <w:t xml:space="preserve">answer </w:t>
            </w:r>
            <w:r w:rsidR="00F93382" w:rsidRPr="00812A7A">
              <w:rPr>
                <w:rStyle w:val="Hyperlink"/>
                <w:color w:val="000000" w:themeColor="text1"/>
                <w:sz w:val="16"/>
                <w:szCs w:val="16"/>
              </w:rPr>
              <w:t>option (</w:t>
            </w:r>
            <w:r w:rsidR="00111D40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G),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internally reviewed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refers to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a</w:t>
            </w:r>
            <w:r w:rsidR="0036710B">
              <w:rPr>
                <w:rStyle w:val="Hyperlink"/>
                <w:color w:val="000000" w:themeColor="text1"/>
                <w:sz w:val="16"/>
              </w:rPr>
              <w:t xml:space="preserve"> review by internal staff members of</w:t>
            </w:r>
            <w:r w:rsidR="0036710B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6D59EC" w:rsidRPr="00812A7A">
              <w:rPr>
                <w:rStyle w:val="Hyperlink"/>
                <w:color w:val="000000" w:themeColor="text1"/>
                <w:sz w:val="16"/>
                <w:szCs w:val="16"/>
              </w:rPr>
              <w:t>sele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c</w:t>
            </w:r>
            <w:r w:rsidR="006D59EC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ted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or all PRI responses before they are submitted.</w:t>
            </w:r>
          </w:p>
          <w:p w14:paraId="036A6480" w14:textId="33A0D642" w:rsidR="00C31151" w:rsidRPr="00812A7A" w:rsidRDefault="00C3115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78A0791C" w14:textId="747E7206" w:rsidR="0015340B" w:rsidRPr="00812A7A" w:rsidRDefault="0056581E" w:rsidP="0015340B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The </w:t>
            </w:r>
            <w:r w:rsidR="003953E2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verification mechanisms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must occur between the end of the reporting year and submission to PRI</w:t>
            </w:r>
            <w:r w:rsidR="00854151" w:rsidRPr="00812A7A">
              <w:rPr>
                <w:rStyle w:val="Hyperlink"/>
                <w:color w:val="000000" w:themeColor="text1"/>
                <w:sz w:val="16"/>
                <w:szCs w:val="16"/>
              </w:rPr>
              <w:t>.</w:t>
            </w:r>
            <w:r w:rsidR="00C97B46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9417B5" w:rsidRPr="00812A7A" w14:paraId="17A1ED93" w14:textId="77777777" w:rsidTr="00B65D54">
        <w:trPr>
          <w:gridAfter w:val="1"/>
          <w:wAfter w:w="9" w:type="dxa"/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728231FC" w14:textId="77777777" w:rsidR="009417B5" w:rsidRPr="00812A7A" w:rsidRDefault="009417B5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lastRenderedPageBreak/>
              <w:t>Other resources</w:t>
            </w:r>
          </w:p>
        </w:tc>
        <w:tc>
          <w:tcPr>
            <w:tcW w:w="13035" w:type="dxa"/>
            <w:gridSpan w:val="6"/>
            <w:shd w:val="clear" w:color="auto" w:fill="auto"/>
            <w:vAlign w:val="center"/>
          </w:tcPr>
          <w:p w14:paraId="07C47AA6" w14:textId="3C93A89D" w:rsidR="009417B5" w:rsidRPr="00812A7A" w:rsidRDefault="009417B5" w:rsidP="009417B5">
            <w:pPr>
              <w:rPr>
                <w:rStyle w:val="Hyperlink"/>
                <w:color w:val="000000" w:themeColor="text1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For further guidance on how to strengthen the confidence of responses to the PRI Reporting Framework</w:t>
            </w:r>
            <w:r w:rsidR="00F076FD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refer to </w:t>
            </w:r>
            <w:hyperlink r:id="rId21" w:history="1">
              <w:r w:rsidR="0036710B">
                <w:rPr>
                  <w:rStyle w:val="Hyperlink"/>
                  <w:sz w:val="16"/>
                  <w:szCs w:val="16"/>
                </w:rPr>
                <w:t>Introducing confidence-building measures to PRI signatories’ reported data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</w:t>
            </w:r>
          </w:p>
        </w:tc>
      </w:tr>
      <w:tr w:rsidR="009417B5" w:rsidRPr="00812A7A" w14:paraId="0277BD6F" w14:textId="77777777" w:rsidTr="00B65D54">
        <w:trPr>
          <w:gridAfter w:val="1"/>
          <w:wAfter w:w="9" w:type="dxa"/>
          <w:trHeight w:val="300"/>
        </w:trPr>
        <w:tc>
          <w:tcPr>
            <w:tcW w:w="14875" w:type="dxa"/>
            <w:gridSpan w:val="7"/>
            <w:shd w:val="clear" w:color="auto" w:fill="0070C0"/>
            <w:vAlign w:val="center"/>
          </w:tcPr>
          <w:p w14:paraId="1D4BDD5B" w14:textId="77777777" w:rsidR="009417B5" w:rsidRPr="00812A7A" w:rsidRDefault="009417B5" w:rsidP="00DA1C58">
            <w:pPr>
              <w:rPr>
                <w:color w:val="FFFFFF" w:themeColor="background1"/>
                <w:sz w:val="16"/>
                <w:szCs w:val="16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Logic</w:t>
            </w:r>
          </w:p>
        </w:tc>
      </w:tr>
      <w:tr w:rsidR="009417B5" w:rsidRPr="00812A7A" w14:paraId="6502792E" w14:textId="77777777" w:rsidTr="00B65D54">
        <w:trPr>
          <w:gridAfter w:val="1"/>
          <w:wAfter w:w="9" w:type="dxa"/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46AB08D7" w14:textId="77777777" w:rsidR="009417B5" w:rsidRPr="00812A7A" w:rsidRDefault="009417B5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Dependent on</w:t>
            </w:r>
          </w:p>
        </w:tc>
        <w:tc>
          <w:tcPr>
            <w:tcW w:w="13035" w:type="dxa"/>
            <w:gridSpan w:val="6"/>
            <w:shd w:val="clear" w:color="auto" w:fill="auto"/>
            <w:vAlign w:val="center"/>
          </w:tcPr>
          <w:p w14:paraId="2A7EFED2" w14:textId="23610117" w:rsidR="009417B5" w:rsidRPr="00812A7A" w:rsidRDefault="00310841" w:rsidP="00DA1C58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N</w:t>
            </w:r>
            <w:r w:rsidRPr="00812A7A">
              <w:rPr>
                <w:sz w:val="16"/>
                <w:szCs w:val="16"/>
              </w:rPr>
              <w:t>/A</w:t>
            </w:r>
          </w:p>
        </w:tc>
      </w:tr>
      <w:tr w:rsidR="009417B5" w:rsidRPr="00812A7A" w14:paraId="73299880" w14:textId="77777777" w:rsidTr="00B65D54">
        <w:trPr>
          <w:gridAfter w:val="1"/>
          <w:wAfter w:w="9" w:type="dxa"/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2AEFD113" w14:textId="77777777" w:rsidR="009417B5" w:rsidRPr="00812A7A" w:rsidRDefault="009417B5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Gateway to</w:t>
            </w:r>
          </w:p>
        </w:tc>
        <w:tc>
          <w:tcPr>
            <w:tcW w:w="13035" w:type="dxa"/>
            <w:gridSpan w:val="6"/>
            <w:shd w:val="clear" w:color="auto" w:fill="auto"/>
            <w:vAlign w:val="center"/>
          </w:tcPr>
          <w:p w14:paraId="4D3486F1" w14:textId="491F0FBE" w:rsidR="009417B5" w:rsidRPr="00812A7A" w:rsidRDefault="0085315C" w:rsidP="008D5CBD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[CBM 2], [CBM 3], [CBM 4], [CBM 5], [CBM 6]</w:t>
            </w:r>
          </w:p>
        </w:tc>
      </w:tr>
      <w:tr w:rsidR="009417B5" w:rsidRPr="00812A7A" w14:paraId="42EF1758" w14:textId="77777777" w:rsidTr="00B65D54">
        <w:trPr>
          <w:gridAfter w:val="1"/>
          <w:wAfter w:w="9" w:type="dxa"/>
          <w:trHeight w:val="300"/>
        </w:trPr>
        <w:tc>
          <w:tcPr>
            <w:tcW w:w="14875" w:type="dxa"/>
            <w:gridSpan w:val="7"/>
            <w:shd w:val="clear" w:color="auto" w:fill="0070C0"/>
            <w:vAlign w:val="center"/>
          </w:tcPr>
          <w:p w14:paraId="1DCC553F" w14:textId="77777777" w:rsidR="009417B5" w:rsidRPr="00812A7A" w:rsidRDefault="009417B5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Assessment</w:t>
            </w:r>
          </w:p>
        </w:tc>
      </w:tr>
      <w:tr w:rsidR="009417B5" w:rsidRPr="00812A7A" w14:paraId="403B2F15" w14:textId="77777777" w:rsidTr="00F36160">
        <w:trPr>
          <w:trHeight w:val="354"/>
        </w:trPr>
        <w:tc>
          <w:tcPr>
            <w:tcW w:w="184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  <w:vAlign w:val="center"/>
          </w:tcPr>
          <w:p w14:paraId="695F736B" w14:textId="77777777" w:rsidR="009417B5" w:rsidRPr="00812A7A" w:rsidRDefault="009417B5" w:rsidP="00DA1C58">
            <w:pPr>
              <w:rPr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Assessment criteria</w:t>
            </w:r>
          </w:p>
        </w:tc>
        <w:tc>
          <w:tcPr>
            <w:tcW w:w="6522" w:type="dxa"/>
            <w:gridSpan w:val="3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  <w:vAlign w:val="center"/>
          </w:tcPr>
          <w:p w14:paraId="668D1D42" w14:textId="77B96339" w:rsidR="00857D61" w:rsidRPr="00812A7A" w:rsidRDefault="00857D6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100 points for this indicator.</w:t>
            </w:r>
          </w:p>
          <w:p w14:paraId="2AEAB7FE" w14:textId="6560FBB4" w:rsidR="00857D61" w:rsidRPr="00812A7A" w:rsidRDefault="00857D6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0CE95575" w14:textId="2233F103" w:rsidR="00D16774" w:rsidRPr="00812A7A" w:rsidRDefault="00D16774" w:rsidP="00D16774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100 points for 3 or more selections from A–G; </w:t>
            </w:r>
            <w:r w:rsidRPr="00812A7A">
              <w:rPr>
                <w:rStyle w:val="Hyperlink"/>
                <w:b/>
                <w:color w:val="000000" w:themeColor="text1"/>
                <w:sz w:val="16"/>
                <w:szCs w:val="16"/>
              </w:rPr>
              <w:t>MUST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include 1 selection from A</w:t>
            </w:r>
            <w:r w:rsidR="00AB562C" w:rsidRPr="00812A7A">
              <w:rPr>
                <w:rStyle w:val="Hyperlink"/>
                <w:color w:val="000000" w:themeColor="text1"/>
                <w:sz w:val="16"/>
                <w:szCs w:val="16"/>
              </w:rPr>
              <w:t>–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D.</w:t>
            </w:r>
          </w:p>
          <w:p w14:paraId="6E800E4B" w14:textId="579287E2" w:rsidR="00D16774" w:rsidRPr="00812A7A" w:rsidRDefault="00D16774" w:rsidP="00D16774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66 points for 2 selections from A–G</w:t>
            </w:r>
            <w:r w:rsidR="00146BA7" w:rsidRPr="00812A7A">
              <w:rPr>
                <w:rStyle w:val="Hyperlink"/>
                <w:color w:val="000000" w:themeColor="text1"/>
                <w:sz w:val="16"/>
                <w:szCs w:val="16"/>
              </w:rPr>
              <w:t>;</w:t>
            </w:r>
            <w:r w:rsidR="00146BA7" w:rsidRPr="00812A7A">
              <w:rPr>
                <w:rStyle w:val="Hyperlink"/>
                <w:b/>
                <w:bCs/>
                <w:color w:val="000000" w:themeColor="text1"/>
                <w:sz w:val="16"/>
                <w:szCs w:val="16"/>
              </w:rPr>
              <w:t xml:space="preserve"> MUST</w:t>
            </w:r>
            <w:r w:rsidR="00146BA7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include 1 selection from A–D.</w:t>
            </w:r>
          </w:p>
          <w:p w14:paraId="41B13434" w14:textId="724A7B91" w:rsidR="00D16774" w:rsidRPr="00812A7A" w:rsidRDefault="00D16774" w:rsidP="00D16774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33 points for 1</w:t>
            </w:r>
            <w:r w:rsidR="00AF3D4B">
              <w:rPr>
                <w:rStyle w:val="Hyperlink"/>
                <w:color w:val="000000" w:themeColor="text1"/>
                <w:sz w:val="16"/>
                <w:szCs w:val="16"/>
              </w:rPr>
              <w:t>-3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selection</w:t>
            </w:r>
            <w:r w:rsidR="00AF3D4B">
              <w:rPr>
                <w:rStyle w:val="Hyperlink"/>
                <w:color w:val="000000" w:themeColor="text1"/>
                <w:sz w:val="16"/>
                <w:szCs w:val="16"/>
              </w:rPr>
              <w:t>s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from A–G. </w:t>
            </w:r>
          </w:p>
          <w:p w14:paraId="32216115" w14:textId="47ABC6FC" w:rsidR="00857D61" w:rsidRPr="00812A7A" w:rsidRDefault="00D16774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0 points for H. </w:t>
            </w:r>
          </w:p>
        </w:tc>
        <w:tc>
          <w:tcPr>
            <w:tcW w:w="6522" w:type="dxa"/>
            <w:gridSpan w:val="4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  <w:vAlign w:val="center"/>
          </w:tcPr>
          <w:p w14:paraId="7F6622AC" w14:textId="6A4B2361" w:rsidR="00197DD8" w:rsidRPr="00812A7A" w:rsidRDefault="00197DD8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Further details:</w:t>
            </w:r>
          </w:p>
          <w:p w14:paraId="1E3B0A8A" w14:textId="77777777" w:rsidR="00197DD8" w:rsidRPr="00812A7A" w:rsidRDefault="00197DD8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0DDBB1A8" w14:textId="5CB828A0" w:rsidR="009417B5" w:rsidRPr="00812A7A" w:rsidRDefault="0036710B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Selecting</w:t>
            </w:r>
            <w:r w:rsidR="00DA1B34" w:rsidRPr="00812A7A"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</w:rPr>
              <w:t>‘</w:t>
            </w:r>
            <w:r w:rsidR="004C3602" w:rsidRPr="00812A7A">
              <w:rPr>
                <w:color w:val="000000" w:themeColor="text1"/>
                <w:sz w:val="16"/>
                <w:szCs w:val="16"/>
              </w:rPr>
              <w:t>H</w:t>
            </w:r>
            <w:r>
              <w:rPr>
                <w:color w:val="000000" w:themeColor="text1"/>
                <w:sz w:val="16"/>
                <w:szCs w:val="16"/>
              </w:rPr>
              <w:t>’</w:t>
            </w:r>
            <w:r w:rsidR="00DA1B34" w:rsidRPr="00812A7A">
              <w:rPr>
                <w:color w:val="000000" w:themeColor="text1"/>
                <w:sz w:val="16"/>
                <w:szCs w:val="16"/>
              </w:rPr>
              <w:t xml:space="preserve"> will result in 0/100 points for this </w:t>
            </w:r>
            <w:r>
              <w:rPr>
                <w:color w:val="000000" w:themeColor="text1"/>
                <w:sz w:val="16"/>
                <w:szCs w:val="16"/>
              </w:rPr>
              <w:t>and the</w:t>
            </w:r>
            <w:r w:rsidR="00DA1B34" w:rsidRPr="00812A7A">
              <w:rPr>
                <w:color w:val="000000" w:themeColor="text1"/>
                <w:sz w:val="16"/>
                <w:szCs w:val="16"/>
              </w:rPr>
              <w:t xml:space="preserve"> following indicators</w:t>
            </w:r>
            <w:r w:rsidR="00870B51" w:rsidRPr="00812A7A">
              <w:rPr>
                <w:color w:val="000000" w:themeColor="text1"/>
                <w:sz w:val="16"/>
                <w:szCs w:val="16"/>
              </w:rPr>
              <w:t xml:space="preserve">: </w:t>
            </w:r>
            <w:r w:rsidR="00DC4141" w:rsidRPr="00812A7A">
              <w:rPr>
                <w:color w:val="000000" w:themeColor="text1"/>
                <w:sz w:val="16"/>
                <w:szCs w:val="16"/>
              </w:rPr>
              <w:t>CBM 6</w:t>
            </w:r>
          </w:p>
        </w:tc>
      </w:tr>
      <w:tr w:rsidR="00826F48" w:rsidRPr="00812A7A" w14:paraId="4A184713" w14:textId="77777777" w:rsidTr="00B65D54">
        <w:trPr>
          <w:gridAfter w:val="1"/>
          <w:wAfter w:w="9" w:type="dxa"/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0C656EA8" w14:textId="77777777" w:rsidR="00826F48" w:rsidRPr="00812A7A" w:rsidDel="002635ED" w:rsidRDefault="00826F48" w:rsidP="00826F4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lastRenderedPageBreak/>
              <w:t>Multiplier</w:t>
            </w:r>
          </w:p>
        </w:tc>
        <w:tc>
          <w:tcPr>
            <w:tcW w:w="13035" w:type="dxa"/>
            <w:gridSpan w:val="6"/>
            <w:shd w:val="clear" w:color="auto" w:fill="auto"/>
            <w:vAlign w:val="center"/>
          </w:tcPr>
          <w:p w14:paraId="2A52EB44" w14:textId="50E063E6" w:rsidR="00826F48" w:rsidRPr="00812A7A" w:rsidRDefault="00F53272" w:rsidP="00826F48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color w:val="000000" w:themeColor="text1"/>
                <w:sz w:val="16"/>
                <w:szCs w:val="16"/>
              </w:rPr>
              <w:t>Moderate</w:t>
            </w:r>
          </w:p>
        </w:tc>
      </w:tr>
    </w:tbl>
    <w:p w14:paraId="1B593026" w14:textId="23A2D370" w:rsidR="000632E0" w:rsidRPr="00812A7A" w:rsidRDefault="000632E0"/>
    <w:p w14:paraId="38962D6E" w14:textId="77777777" w:rsidR="000632E0" w:rsidRPr="00812A7A" w:rsidRDefault="000632E0">
      <w:pPr>
        <w:spacing w:after="160" w:line="259" w:lineRule="auto"/>
      </w:pPr>
      <w:r w:rsidRPr="00812A7A">
        <w:br w:type="page"/>
      </w:r>
    </w:p>
    <w:p w14:paraId="081455FB" w14:textId="5FA05E0B" w:rsidR="00E6435C" w:rsidRPr="00812A7A" w:rsidRDefault="005376F5" w:rsidP="006C6C71">
      <w:pPr>
        <w:pStyle w:val="Heading2"/>
      </w:pPr>
      <w:bookmarkStart w:id="5" w:name="_Toc122332744"/>
      <w:r w:rsidRPr="00812A7A">
        <w:lastRenderedPageBreak/>
        <w:t>Third-party external assurance [</w:t>
      </w:r>
      <w:r w:rsidR="00383D78" w:rsidRPr="00812A7A">
        <w:t>CBM 2</w:t>
      </w:r>
      <w:r w:rsidRPr="00812A7A">
        <w:t xml:space="preserve">, </w:t>
      </w:r>
      <w:r w:rsidR="00CB6D6E" w:rsidRPr="00812A7A">
        <w:t>CBM 3</w:t>
      </w:r>
      <w:r w:rsidRPr="00812A7A">
        <w:t>]</w:t>
      </w:r>
      <w:bookmarkEnd w:id="5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8"/>
        <w:gridCol w:w="2831"/>
        <w:gridCol w:w="1212"/>
        <w:gridCol w:w="3464"/>
        <w:gridCol w:w="1983"/>
        <w:gridCol w:w="1985"/>
        <w:gridCol w:w="10"/>
      </w:tblGrid>
      <w:tr w:rsidR="00CD36F4" w:rsidRPr="00812A7A" w14:paraId="30305F43" w14:textId="77777777" w:rsidTr="00CD36F4">
        <w:trPr>
          <w:gridAfter w:val="1"/>
          <w:wAfter w:w="10" w:type="dxa"/>
          <w:trHeight w:val="367"/>
        </w:trPr>
        <w:tc>
          <w:tcPr>
            <w:tcW w:w="1841" w:type="dxa"/>
            <w:vMerge w:val="restart"/>
            <w:shd w:val="clear" w:color="auto" w:fill="DFF5F9"/>
            <w:vAlign w:val="center"/>
            <w:hideMark/>
          </w:tcPr>
          <w:p w14:paraId="30B2B4FE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Indicator ID</w:t>
            </w:r>
          </w:p>
          <w:p w14:paraId="52D63A2E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  <w:p w14:paraId="7F82E29B" w14:textId="2644C7C8" w:rsidR="00CD36F4" w:rsidRPr="00812A7A" w:rsidRDefault="00CD36F4" w:rsidP="00DA1C58">
            <w:pPr>
              <w:pStyle w:val="Indicatorsubsection"/>
              <w:rPr>
                <w:sz w:val="18"/>
                <w:szCs w:val="18"/>
                <w:lang w:val="en-GB"/>
              </w:rPr>
            </w:pPr>
            <w:bookmarkStart w:id="6" w:name="_Toc122332745"/>
            <w:r w:rsidRPr="00812A7A">
              <w:rPr>
                <w:lang w:val="en-GB"/>
              </w:rPr>
              <w:t>CBM 2</w:t>
            </w:r>
            <w:bookmarkEnd w:id="6"/>
          </w:p>
        </w:tc>
        <w:tc>
          <w:tcPr>
            <w:tcW w:w="1558" w:type="dxa"/>
            <w:shd w:val="clear" w:color="auto" w:fill="DFF5F9"/>
            <w:vAlign w:val="center"/>
            <w:hideMark/>
          </w:tcPr>
          <w:p w14:paraId="5B3C43BA" w14:textId="77777777" w:rsidR="00CD36F4" w:rsidRPr="00812A7A" w:rsidRDefault="00CD36F4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 xml:space="preserve">Dependent on: </w:t>
            </w:r>
          </w:p>
        </w:tc>
        <w:tc>
          <w:tcPr>
            <w:tcW w:w="2831" w:type="dxa"/>
            <w:shd w:val="clear" w:color="auto" w:fill="DFF5F9"/>
            <w:vAlign w:val="center"/>
          </w:tcPr>
          <w:p w14:paraId="31FF144F" w14:textId="069B3E7E" w:rsidR="00CD36F4" w:rsidRPr="00812A7A" w:rsidRDefault="00CD36F4" w:rsidP="008D5CBD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 xml:space="preserve">OO 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812A7A">
              <w:rPr>
                <w:b/>
                <w:bCs/>
                <w:sz w:val="22"/>
                <w:szCs w:val="22"/>
              </w:rPr>
              <w:t xml:space="preserve">, CBM 1 </w:t>
            </w:r>
          </w:p>
        </w:tc>
        <w:tc>
          <w:tcPr>
            <w:tcW w:w="4676" w:type="dxa"/>
            <w:gridSpan w:val="2"/>
            <w:vMerge w:val="restart"/>
            <w:shd w:val="clear" w:color="auto" w:fill="DFF5F9"/>
            <w:vAlign w:val="center"/>
          </w:tcPr>
          <w:p w14:paraId="21BAD718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Sub-section</w:t>
            </w:r>
            <w:r w:rsidRPr="00812A7A">
              <w:rPr>
                <w:rFonts w:eastAsia="Times New Roman" w:cs="Arial"/>
                <w:sz w:val="14"/>
                <w:szCs w:val="14"/>
                <w:lang w:eastAsia="en-GB"/>
              </w:rPr>
              <w:t> </w:t>
            </w:r>
          </w:p>
          <w:p w14:paraId="17DA76A2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3305E032" w14:textId="2B2B2031" w:rsidR="00CD36F4" w:rsidRPr="00812A7A" w:rsidRDefault="00CD36F4" w:rsidP="00DA1C58">
            <w:pPr>
              <w:jc w:val="center"/>
              <w:rPr>
                <w:sz w:val="18"/>
                <w:szCs w:val="18"/>
              </w:rPr>
            </w:pPr>
            <w:r w:rsidRPr="00812A7A">
              <w:rPr>
                <w:b/>
                <w:bCs/>
                <w:sz w:val="22"/>
                <w:szCs w:val="22"/>
              </w:rPr>
              <w:t>Third-party external assurance</w:t>
            </w:r>
          </w:p>
        </w:tc>
        <w:tc>
          <w:tcPr>
            <w:tcW w:w="1983" w:type="dxa"/>
            <w:vMerge w:val="restart"/>
            <w:shd w:val="clear" w:color="auto" w:fill="DFF5F9"/>
            <w:vAlign w:val="center"/>
            <w:hideMark/>
          </w:tcPr>
          <w:p w14:paraId="0376B29D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  <w:t>PRI Principle</w:t>
            </w:r>
          </w:p>
          <w:p w14:paraId="7BAED958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7DD4FA87" w14:textId="28D02A0C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22"/>
                <w:szCs w:val="22"/>
                <w:lang w:eastAsia="en-GB"/>
              </w:rPr>
              <w:t>6</w:t>
            </w:r>
            <w:r w:rsidRPr="00812A7A">
              <w:rPr>
                <w:rFonts w:eastAsia="Times New Roman" w:cs="Arial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85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E9C0D18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  <w:t>Type of indicator</w:t>
            </w:r>
          </w:p>
          <w:p w14:paraId="73AF3BE4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24998281" w14:textId="77777777" w:rsidR="00CD36F4" w:rsidRPr="00812A7A" w:rsidRDefault="00CD36F4" w:rsidP="00DA1C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CORE</w:t>
            </w:r>
          </w:p>
        </w:tc>
      </w:tr>
      <w:tr w:rsidR="00CD36F4" w:rsidRPr="00812A7A" w14:paraId="7A8133DB" w14:textId="77777777" w:rsidTr="00CD36F4">
        <w:trPr>
          <w:gridAfter w:val="1"/>
          <w:wAfter w:w="10" w:type="dxa"/>
          <w:trHeight w:val="367"/>
        </w:trPr>
        <w:tc>
          <w:tcPr>
            <w:tcW w:w="1841" w:type="dxa"/>
            <w:vMerge/>
            <w:shd w:val="clear" w:color="auto" w:fill="DFF5F9"/>
            <w:vAlign w:val="center"/>
          </w:tcPr>
          <w:p w14:paraId="4AC3635B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8" w:type="dxa"/>
            <w:shd w:val="clear" w:color="auto" w:fill="DFF5F9"/>
            <w:vAlign w:val="center"/>
          </w:tcPr>
          <w:p w14:paraId="44C787FA" w14:textId="77777777" w:rsidR="00CD36F4" w:rsidRPr="00812A7A" w:rsidRDefault="00CD36F4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Gateway to:</w:t>
            </w:r>
          </w:p>
        </w:tc>
        <w:tc>
          <w:tcPr>
            <w:tcW w:w="2831" w:type="dxa"/>
            <w:shd w:val="clear" w:color="auto" w:fill="DFF5F9"/>
            <w:vAlign w:val="center"/>
          </w:tcPr>
          <w:p w14:paraId="35B86D91" w14:textId="799DECA5" w:rsidR="00CD36F4" w:rsidRPr="00812A7A" w:rsidRDefault="00CD36F4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6" w:type="dxa"/>
            <w:gridSpan w:val="2"/>
            <w:vMerge/>
            <w:shd w:val="clear" w:color="auto" w:fill="DFF5F9"/>
            <w:vAlign w:val="center"/>
          </w:tcPr>
          <w:p w14:paraId="7F503527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3" w:type="dxa"/>
            <w:vMerge/>
            <w:shd w:val="clear" w:color="auto" w:fill="DFF5F9"/>
            <w:vAlign w:val="center"/>
          </w:tcPr>
          <w:p w14:paraId="4314256F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5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6ECEE5C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E6435C" w:rsidRPr="00812A7A" w14:paraId="687F707B" w14:textId="77777777" w:rsidTr="00DA1C58">
        <w:trPr>
          <w:trHeight w:val="567"/>
        </w:trPr>
        <w:tc>
          <w:tcPr>
            <w:tcW w:w="14884" w:type="dxa"/>
            <w:gridSpan w:val="8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9AF6340" w14:textId="35A4A8EC" w:rsidR="00E6435C" w:rsidRPr="00812A7A" w:rsidRDefault="0036710B" w:rsidP="00E6435C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b/>
                <w:lang w:eastAsia="en-GB"/>
              </w:rPr>
              <w:t>For w</w:t>
            </w:r>
            <w:r w:rsidR="00E6435C" w:rsidRPr="00812A7A">
              <w:rPr>
                <w:rFonts w:eastAsia="Times New Roman" w:cs="Arial"/>
                <w:b/>
                <w:lang w:eastAsia="en-GB"/>
              </w:rPr>
              <w:t xml:space="preserve">hich responsible investment processes and/or data did your organisation </w:t>
            </w:r>
            <w:r w:rsidR="009E4E19" w:rsidRPr="00812A7A">
              <w:rPr>
                <w:rFonts w:eastAsia="Times New Roman" w:cs="Arial"/>
                <w:b/>
                <w:lang w:eastAsia="en-GB"/>
              </w:rPr>
              <w:t xml:space="preserve">conduct </w:t>
            </w:r>
            <w:hyperlink r:id="rId22" w:history="1">
              <w:r w:rsidR="00E6435C" w:rsidRPr="00812A7A">
                <w:rPr>
                  <w:rStyle w:val="Hyperlink"/>
                  <w:rFonts w:eastAsia="Times New Roman" w:cs="Arial"/>
                  <w:b/>
                  <w:lang w:eastAsia="en-GB"/>
                </w:rPr>
                <w:t>third</w:t>
              </w:r>
              <w:r w:rsidR="00F076FD" w:rsidRPr="00812A7A">
                <w:rPr>
                  <w:rStyle w:val="Hyperlink"/>
                  <w:rFonts w:eastAsia="Times New Roman" w:cs="Arial"/>
                  <w:b/>
                  <w:lang w:eastAsia="en-GB"/>
                </w:rPr>
                <w:t>-</w:t>
              </w:r>
              <w:r w:rsidR="00E6435C" w:rsidRPr="00812A7A">
                <w:rPr>
                  <w:rStyle w:val="Hyperlink"/>
                  <w:rFonts w:eastAsia="Times New Roman" w:cs="Arial"/>
                  <w:b/>
                  <w:lang w:eastAsia="en-GB"/>
                </w:rPr>
                <w:t>party external assurance</w:t>
              </w:r>
            </w:hyperlink>
            <w:r w:rsidR="00E6435C" w:rsidRPr="00812A7A">
              <w:rPr>
                <w:rFonts w:eastAsia="Times New Roman" w:cs="Arial"/>
                <w:b/>
                <w:lang w:eastAsia="en-GB"/>
              </w:rPr>
              <w:t>?</w:t>
            </w:r>
          </w:p>
        </w:tc>
      </w:tr>
      <w:tr w:rsidR="003F0AEF" w:rsidRPr="00812A7A" w14:paraId="6071960E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CDAAF6E" w14:textId="08F12D72" w:rsidR="003F0AEF" w:rsidRPr="00812A7A" w:rsidRDefault="003F0AEF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(A) </w:t>
            </w:r>
            <w:r w:rsidR="00AB6093">
              <w:t>Policy, governance and strategy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656FE91A" w14:textId="2EF89219" w:rsidR="003F0AEF" w:rsidRDefault="003F0AEF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[Dropdown list]</w:t>
            </w:r>
          </w:p>
          <w:p w14:paraId="11099F7A" w14:textId="77777777" w:rsidR="00C73AED" w:rsidRPr="00812A7A" w:rsidRDefault="00C73AED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</w:p>
          <w:p w14:paraId="46FBDCB5" w14:textId="0DC2C8C4" w:rsidR="003F0AEF" w:rsidRPr="00812A7A" w:rsidRDefault="003F0AEF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Pr="00812A7A">
              <w:rPr>
                <w:rFonts w:eastAsia="Times New Roman" w:cs="Arial"/>
                <w:lang w:eastAsia="en-GB"/>
              </w:rPr>
              <w:t>1)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E02C16" w:rsidRPr="00812A7A">
              <w:rPr>
                <w:rFonts w:eastAsia="Times New Roman" w:cs="Arial"/>
                <w:szCs w:val="16"/>
                <w:lang w:eastAsia="en-GB"/>
              </w:rPr>
              <w:t xml:space="preserve">Data assured </w:t>
            </w:r>
          </w:p>
          <w:p w14:paraId="04D62D95" w14:textId="049CB4EA" w:rsidR="003F0AEF" w:rsidRPr="00812A7A" w:rsidRDefault="003F0AEF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Pr="00812A7A">
              <w:rPr>
                <w:rFonts w:eastAsia="Times New Roman" w:cs="Arial"/>
                <w:lang w:eastAsia="en-GB"/>
              </w:rPr>
              <w:t>2)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E02C16" w:rsidRPr="00812A7A">
              <w:rPr>
                <w:rFonts w:eastAsia="Times New Roman" w:cs="Arial"/>
                <w:szCs w:val="16"/>
                <w:lang w:eastAsia="en-GB"/>
              </w:rPr>
              <w:t>Processes assured</w:t>
            </w:r>
            <w:r w:rsidR="00E02C16" w:rsidRPr="00812A7A" w:rsidDel="00E02C16">
              <w:rPr>
                <w:rFonts w:eastAsia="Times New Roman" w:cs="Arial"/>
                <w:szCs w:val="16"/>
                <w:lang w:eastAsia="en-GB"/>
              </w:rPr>
              <w:t xml:space="preserve"> </w:t>
            </w:r>
          </w:p>
          <w:p w14:paraId="6874B5DC" w14:textId="24F24750" w:rsidR="003F0AEF" w:rsidRPr="00812A7A" w:rsidRDefault="003F0AEF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Pr="00812A7A">
              <w:rPr>
                <w:rFonts w:eastAsia="Times New Roman" w:cs="Arial"/>
                <w:lang w:eastAsia="en-GB"/>
              </w:rPr>
              <w:t>3)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 xml:space="preserve"> Processes and data assured</w:t>
            </w:r>
          </w:p>
        </w:tc>
      </w:tr>
      <w:tr w:rsidR="003F0AEF" w:rsidRPr="00812A7A" w14:paraId="40AE3BF6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15D0EE5" w14:textId="227C7D6E" w:rsidR="003F0AEF" w:rsidRPr="00812A7A" w:rsidRDefault="003F0AEF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>(B) Manager selection, appointment and monitoring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3A1131BF" w14:textId="08B4F053" w:rsidR="003F0AEF" w:rsidRPr="00812A7A" w:rsidRDefault="00076BF5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076BF5" w:rsidRPr="00812A7A" w14:paraId="70F7C284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668FEF5" w14:textId="5CAFE74A" w:rsidR="00076BF5" w:rsidRPr="00812A7A" w:rsidRDefault="00076BF5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(C) </w:t>
            </w:r>
            <w:hyperlink r:id="rId23" w:history="1">
              <w:r w:rsidRPr="00F36160">
                <w:rPr>
                  <w:rStyle w:val="Hyperlink"/>
                </w:rPr>
                <w:t>Listed equity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5509B87F" w14:textId="1E182A1C" w:rsidR="00076BF5" w:rsidRPr="00812A7A" w:rsidRDefault="00076BF5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076BF5" w:rsidRPr="00812A7A" w14:paraId="6D02EEAC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D58E4AD" w14:textId="16F150E4" w:rsidR="00076BF5" w:rsidRPr="00812A7A" w:rsidRDefault="00076BF5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(D) </w:t>
            </w:r>
            <w:hyperlink r:id="rId24" w:history="1">
              <w:r w:rsidRPr="00F36160">
                <w:rPr>
                  <w:rStyle w:val="Hyperlink"/>
                </w:rPr>
                <w:t>Fixed income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264981BD" w14:textId="20142DB8" w:rsidR="00076BF5" w:rsidRPr="00812A7A" w:rsidRDefault="00076BF5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076BF5" w:rsidRPr="00812A7A" w14:paraId="3A243000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E704283" w14:textId="4E69123F" w:rsidR="00076BF5" w:rsidRPr="00812A7A" w:rsidRDefault="00076BF5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(E) </w:t>
            </w:r>
            <w:hyperlink r:id="rId25" w:history="1">
              <w:r w:rsidRPr="00F36160">
                <w:rPr>
                  <w:rStyle w:val="Hyperlink"/>
                </w:rPr>
                <w:t>Private equity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03B4621A" w14:textId="412AB280" w:rsidR="00076BF5" w:rsidRPr="00812A7A" w:rsidRDefault="00076BF5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076BF5" w:rsidRPr="00812A7A" w14:paraId="47184F24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88E624D" w14:textId="01652F7C" w:rsidR="00076BF5" w:rsidRPr="00812A7A" w:rsidRDefault="00076BF5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(F) </w:t>
            </w:r>
            <w:hyperlink r:id="rId26" w:history="1">
              <w:r w:rsidRPr="00F36160">
                <w:rPr>
                  <w:rStyle w:val="Hyperlink"/>
                </w:rPr>
                <w:t>Real estate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195E05FC" w14:textId="1E0EBD5B" w:rsidR="00076BF5" w:rsidRPr="00812A7A" w:rsidRDefault="00076BF5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076BF5" w:rsidRPr="00812A7A" w14:paraId="5BC1DEAB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02F16FC" w14:textId="4BA98605" w:rsidR="00076BF5" w:rsidRPr="00812A7A" w:rsidRDefault="00076BF5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(G) </w:t>
            </w:r>
            <w:hyperlink r:id="rId27" w:history="1">
              <w:r w:rsidRPr="00F36160">
                <w:rPr>
                  <w:rStyle w:val="Hyperlink"/>
                </w:rPr>
                <w:t>Infrastructure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799171A6" w14:textId="36831244" w:rsidR="00076BF5" w:rsidRPr="00812A7A" w:rsidRDefault="00076BF5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076BF5" w:rsidRPr="00812A7A" w14:paraId="323571B7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EAD0E1" w14:textId="3FDD0DFC" w:rsidR="00076BF5" w:rsidRPr="00812A7A" w:rsidRDefault="00076BF5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lastRenderedPageBreak/>
              <w:t xml:space="preserve">(H) </w:t>
            </w:r>
            <w:hyperlink r:id="rId28" w:history="1">
              <w:r w:rsidRPr="00F36160">
                <w:rPr>
                  <w:rStyle w:val="Hyperlink"/>
                </w:rPr>
                <w:t>Hedge funds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145C40FA" w14:textId="5D609C1C" w:rsidR="00076BF5" w:rsidRPr="00812A7A" w:rsidRDefault="00076BF5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E6435C" w:rsidRPr="00812A7A" w14:paraId="4FFAA3AC" w14:textId="77777777" w:rsidTr="00F36160">
        <w:trPr>
          <w:gridAfter w:val="1"/>
          <w:wAfter w:w="10" w:type="dxa"/>
          <w:trHeight w:val="300"/>
        </w:trPr>
        <w:tc>
          <w:tcPr>
            <w:tcW w:w="14874" w:type="dxa"/>
            <w:gridSpan w:val="7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3A5452D6" w14:textId="77777777" w:rsidR="00E6435C" w:rsidRPr="00812A7A" w:rsidRDefault="00E6435C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E6435C" w:rsidRPr="00812A7A" w14:paraId="292A43FF" w14:textId="77777777" w:rsidTr="00F36160">
        <w:trPr>
          <w:gridAfter w:val="1"/>
          <w:wAfter w:w="10" w:type="dxa"/>
          <w:trHeight w:val="300"/>
        </w:trPr>
        <w:tc>
          <w:tcPr>
            <w:tcW w:w="14874" w:type="dxa"/>
            <w:gridSpan w:val="7"/>
            <w:shd w:val="clear" w:color="auto" w:fill="0070C0"/>
            <w:vAlign w:val="center"/>
          </w:tcPr>
          <w:p w14:paraId="5D65E5B5" w14:textId="77777777" w:rsidR="00E6435C" w:rsidRPr="00812A7A" w:rsidRDefault="00E6435C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Explanatory notes</w:t>
            </w:r>
          </w:p>
        </w:tc>
      </w:tr>
      <w:tr w:rsidR="00E6435C" w:rsidRPr="00812A7A" w14:paraId="2E9D054F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557F4F0C" w14:textId="77777777" w:rsidR="00E6435C" w:rsidRPr="00812A7A" w:rsidRDefault="00E6435C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Purpose of indicator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298A2323" w14:textId="064BE4C1" w:rsidR="00E6435C" w:rsidRPr="00812A7A" w:rsidRDefault="00E6435C" w:rsidP="00E6435C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The PRI aims to </w:t>
            </w:r>
            <w:r w:rsidR="00455CFF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increase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signator</w:t>
            </w:r>
            <w:r w:rsidR="000431E5" w:rsidRPr="00812A7A">
              <w:rPr>
                <w:rStyle w:val="Hyperlink"/>
                <w:color w:val="000000" w:themeColor="text1"/>
                <w:sz w:val="16"/>
                <w:szCs w:val="16"/>
              </w:rPr>
              <w:t>ies’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account</w:t>
            </w:r>
            <w:r w:rsidR="00EA737F" w:rsidRPr="00812A7A">
              <w:rPr>
                <w:rStyle w:val="Hyperlink"/>
                <w:color w:val="000000" w:themeColor="text1"/>
                <w:sz w:val="16"/>
                <w:szCs w:val="16"/>
              </w:rPr>
              <w:t>ability as part of its 10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="00EA737F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year </w:t>
            </w:r>
            <w:hyperlink r:id="rId29" w:history="1">
              <w:r w:rsidRPr="00812A7A">
                <w:rPr>
                  <w:rStyle w:val="Hyperlink"/>
                  <w:sz w:val="16"/>
                  <w:szCs w:val="16"/>
                </w:rPr>
                <w:t>Bluepri</w:t>
              </w:r>
              <w:r w:rsidR="00EA737F" w:rsidRPr="00812A7A">
                <w:rPr>
                  <w:rStyle w:val="Hyperlink"/>
                  <w:sz w:val="16"/>
                  <w:szCs w:val="16"/>
                </w:rPr>
                <w:t>nt for Responsible Investment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 Undertaking confidence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building measures will enhance the credibility of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the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ESG disclosures </w:t>
            </w:r>
            <w:r w:rsidR="0036710B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signatories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made to the PRI in this submission, their reporting to clients or beneficiaries and elsewhere. External third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party assurance is the strongest, most impartial and 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m</w:t>
            </w:r>
            <w:r w:rsidR="00B267F6" w:rsidRPr="00812A7A">
              <w:rPr>
                <w:rStyle w:val="Hyperlink"/>
                <w:color w:val="000000" w:themeColor="text1"/>
                <w:sz w:val="16"/>
              </w:rPr>
              <w:t xml:space="preserve">ost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credible confidence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building measure.</w:t>
            </w:r>
          </w:p>
          <w:p w14:paraId="3372B614" w14:textId="77777777" w:rsidR="00E6435C" w:rsidRPr="00812A7A" w:rsidRDefault="00E6435C" w:rsidP="00E6435C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10086F28" w14:textId="28938067" w:rsidR="00E6435C" w:rsidRPr="00812A7A" w:rsidRDefault="00E6435C" w:rsidP="00E6435C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This indicator aims to understand what externally assured information was included in 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>signatories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submission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s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to the PRI for this reporting year. It is considered </w:t>
            </w:r>
            <w:r w:rsidR="00CB3B21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good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practice to have processes and related data assured for all reported modules.</w:t>
            </w:r>
          </w:p>
        </w:tc>
      </w:tr>
      <w:tr w:rsidR="00E6435C" w:rsidRPr="00812A7A" w14:paraId="30FF2574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58E16EE1" w14:textId="77777777" w:rsidR="00E6435C" w:rsidRPr="00812A7A" w:rsidRDefault="00E6435C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Additional reporting guidance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5B679D01" w14:textId="0525756D" w:rsidR="00E6435C" w:rsidRPr="00812A7A" w:rsidRDefault="00E6435C" w:rsidP="00DA1C58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Signatories should select the appropriate </w:t>
            </w:r>
            <w:r w:rsidR="00297234">
              <w:rPr>
                <w:rStyle w:val="Hyperlink"/>
                <w:color w:val="000000" w:themeColor="text1"/>
                <w:sz w:val="16"/>
                <w:szCs w:val="16"/>
              </w:rPr>
              <w:t xml:space="preserve">answer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options where externally assured information has been used in their submission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s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to the PRI for this reporting year.</w:t>
            </w:r>
          </w:p>
        </w:tc>
      </w:tr>
      <w:tr w:rsidR="00E6435C" w:rsidRPr="00812A7A" w14:paraId="6B97260E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474C90CE" w14:textId="77777777" w:rsidR="00E6435C" w:rsidRPr="00812A7A" w:rsidRDefault="00E6435C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Other resources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5F5C1B7B" w14:textId="0DB09126" w:rsidR="00E6435C" w:rsidRPr="00812A7A" w:rsidRDefault="00E6435C" w:rsidP="00E6435C">
            <w:pPr>
              <w:rPr>
                <w:rStyle w:val="Hyperlink"/>
                <w:color w:val="000000" w:themeColor="text1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For further guidance on how to strengthen the confidence of responses to the PRI Reporting Framework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refer to </w:t>
            </w:r>
            <w:hyperlink r:id="rId30" w:history="1">
              <w:r w:rsidR="00FF5E05">
                <w:rPr>
                  <w:rStyle w:val="Hyperlink"/>
                  <w:sz w:val="16"/>
                  <w:szCs w:val="16"/>
                </w:rPr>
                <w:t>Introducing confidence-building measures to PRI signatories’ reported data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</w:t>
            </w:r>
          </w:p>
        </w:tc>
      </w:tr>
      <w:tr w:rsidR="00E6435C" w:rsidRPr="00812A7A" w14:paraId="4E15D7E9" w14:textId="77777777" w:rsidTr="00F36160">
        <w:trPr>
          <w:gridAfter w:val="1"/>
          <w:wAfter w:w="10" w:type="dxa"/>
          <w:trHeight w:val="300"/>
        </w:trPr>
        <w:tc>
          <w:tcPr>
            <w:tcW w:w="14874" w:type="dxa"/>
            <w:gridSpan w:val="7"/>
            <w:shd w:val="clear" w:color="auto" w:fill="0070C0"/>
            <w:vAlign w:val="center"/>
          </w:tcPr>
          <w:p w14:paraId="0AC8A2AF" w14:textId="77777777" w:rsidR="00E6435C" w:rsidRPr="00812A7A" w:rsidRDefault="00E6435C" w:rsidP="00DA1C58">
            <w:pPr>
              <w:rPr>
                <w:color w:val="FFFFFF" w:themeColor="background1"/>
                <w:sz w:val="16"/>
                <w:szCs w:val="16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Logic</w:t>
            </w:r>
          </w:p>
        </w:tc>
      </w:tr>
      <w:tr w:rsidR="00E6435C" w:rsidRPr="00812A7A" w14:paraId="71E5C479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708D24C" w14:textId="77777777" w:rsidR="00E6435C" w:rsidRPr="00812A7A" w:rsidRDefault="00E6435C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Dependent on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6878807A" w14:textId="67A284BC" w:rsidR="00E6435C" w:rsidRPr="00812A7A" w:rsidRDefault="00CB6D6E" w:rsidP="00EF1E72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[</w:t>
            </w:r>
            <w:r w:rsidR="00FE2207" w:rsidRPr="00812A7A">
              <w:rPr>
                <w:color w:val="000000" w:themeColor="text1"/>
                <w:sz w:val="16"/>
                <w:szCs w:val="16"/>
              </w:rPr>
              <w:t xml:space="preserve">OO </w:t>
            </w:r>
            <w:r w:rsidR="00450B30">
              <w:rPr>
                <w:color w:val="000000" w:themeColor="text1"/>
                <w:sz w:val="16"/>
                <w:szCs w:val="16"/>
              </w:rPr>
              <w:t>21</w:t>
            </w:r>
            <w:r w:rsidRPr="00812A7A">
              <w:rPr>
                <w:color w:val="000000" w:themeColor="text1"/>
                <w:sz w:val="16"/>
                <w:szCs w:val="16"/>
              </w:rPr>
              <w:t>]</w:t>
            </w:r>
            <w:r w:rsidR="003C0DEB" w:rsidRPr="00812A7A">
              <w:rPr>
                <w:color w:val="000000" w:themeColor="text1"/>
                <w:sz w:val="16"/>
                <w:szCs w:val="16"/>
              </w:rPr>
              <w:t>,</w:t>
            </w:r>
            <w:r w:rsidR="0036710B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color w:val="000000" w:themeColor="text1"/>
                <w:sz w:val="16"/>
                <w:szCs w:val="16"/>
              </w:rPr>
              <w:t>[</w:t>
            </w:r>
            <w:r w:rsidR="00383D78" w:rsidRPr="00812A7A">
              <w:rPr>
                <w:color w:val="000000" w:themeColor="text1"/>
                <w:sz w:val="16"/>
                <w:szCs w:val="16"/>
              </w:rPr>
              <w:t>CBM 1</w:t>
            </w:r>
            <w:r w:rsidRPr="00812A7A">
              <w:rPr>
                <w:color w:val="000000" w:themeColor="text1"/>
                <w:sz w:val="16"/>
                <w:szCs w:val="16"/>
              </w:rPr>
              <w:t>]</w:t>
            </w:r>
          </w:p>
        </w:tc>
      </w:tr>
      <w:tr w:rsidR="00E6435C" w:rsidRPr="00812A7A" w14:paraId="70ABEB44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16AF5557" w14:textId="77777777" w:rsidR="00E6435C" w:rsidRPr="00812A7A" w:rsidRDefault="00E6435C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Gateway to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5F6995FD" w14:textId="5D354DF1" w:rsidR="00E6435C" w:rsidRPr="00812A7A" w:rsidRDefault="00EF1E72" w:rsidP="00DA1C58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N/A</w:t>
            </w:r>
          </w:p>
        </w:tc>
      </w:tr>
      <w:tr w:rsidR="00E6435C" w:rsidRPr="00812A7A" w14:paraId="19DAE430" w14:textId="77777777" w:rsidTr="00F36160">
        <w:trPr>
          <w:gridAfter w:val="1"/>
          <w:wAfter w:w="10" w:type="dxa"/>
          <w:trHeight w:val="300"/>
        </w:trPr>
        <w:tc>
          <w:tcPr>
            <w:tcW w:w="14874" w:type="dxa"/>
            <w:gridSpan w:val="7"/>
            <w:shd w:val="clear" w:color="auto" w:fill="0070C0"/>
            <w:vAlign w:val="center"/>
          </w:tcPr>
          <w:p w14:paraId="0E6D802D" w14:textId="77777777" w:rsidR="00E6435C" w:rsidRPr="00812A7A" w:rsidRDefault="00E6435C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Assessment</w:t>
            </w:r>
          </w:p>
        </w:tc>
      </w:tr>
      <w:tr w:rsidR="00E6435C" w:rsidRPr="00812A7A" w14:paraId="4108C7E5" w14:textId="77777777" w:rsidTr="00CD36F4">
        <w:trPr>
          <w:gridAfter w:val="1"/>
          <w:wAfter w:w="10" w:type="dxa"/>
          <w:trHeight w:val="354"/>
        </w:trPr>
        <w:tc>
          <w:tcPr>
            <w:tcW w:w="1841" w:type="dxa"/>
            <w:shd w:val="clear" w:color="auto" w:fill="auto"/>
            <w:vAlign w:val="center"/>
          </w:tcPr>
          <w:p w14:paraId="7D70D4DC" w14:textId="77777777" w:rsidR="00E6435C" w:rsidRPr="00812A7A" w:rsidRDefault="00E6435C" w:rsidP="00DA1C58">
            <w:pPr>
              <w:rPr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Assessment criteria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089C25B8" w14:textId="4CACC3A5" w:rsidR="003E6CE0" w:rsidRPr="00812A7A" w:rsidRDefault="003E6CE0" w:rsidP="00ED25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100 points for this indicator.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The </w:t>
            </w:r>
            <w:r w:rsidR="003607E1">
              <w:rPr>
                <w:rStyle w:val="Hyperlink"/>
                <w:color w:val="000000" w:themeColor="text1"/>
                <w:sz w:val="16"/>
                <w:szCs w:val="16"/>
              </w:rPr>
              <w:t>final</w:t>
            </w:r>
            <w:r w:rsidR="0036710B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score </w:t>
            </w:r>
            <w:r w:rsidR="003607E1">
              <w:rPr>
                <w:rStyle w:val="Hyperlink"/>
                <w:color w:val="000000" w:themeColor="text1"/>
                <w:sz w:val="16"/>
                <w:szCs w:val="16"/>
              </w:rPr>
              <w:t>will</w:t>
            </w:r>
            <w:r w:rsidR="003607E1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be based on the mean of the lettered answer options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, w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ith answer option (A) accounting for 50% of the overall score.</w:t>
            </w:r>
          </w:p>
          <w:p w14:paraId="695FC27B" w14:textId="77777777" w:rsidR="008C72DE" w:rsidRPr="00812A7A" w:rsidRDefault="008C72DE" w:rsidP="00ED25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19B4E332" w14:textId="77777777" w:rsidR="008C72DE" w:rsidRPr="00812A7A" w:rsidRDefault="008C72DE" w:rsidP="00ED25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100 points for (3).</w:t>
            </w:r>
          </w:p>
          <w:p w14:paraId="4B7CA7F7" w14:textId="77777777" w:rsidR="008C72DE" w:rsidRPr="00812A7A" w:rsidRDefault="008C72DE" w:rsidP="00ED25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66 points for (2).</w:t>
            </w:r>
          </w:p>
          <w:p w14:paraId="6CA2EA70" w14:textId="78258045" w:rsidR="00E6435C" w:rsidRPr="00812A7A" w:rsidRDefault="008C72DE" w:rsidP="00E6435C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33 points for (1).</w:t>
            </w:r>
          </w:p>
        </w:tc>
      </w:tr>
      <w:tr w:rsidR="00E6435C" w:rsidRPr="00812A7A" w14:paraId="3E6ABF21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6ACE585B" w14:textId="77777777" w:rsidR="00E6435C" w:rsidRPr="00AA6386" w:rsidDel="002635ED" w:rsidRDefault="00E6435C" w:rsidP="00DA1C5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AA6386">
              <w:rPr>
                <w:b/>
                <w:sz w:val="16"/>
                <w:szCs w:val="16"/>
              </w:rPr>
              <w:t>Multiplier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09207D12" w14:textId="4FBCB542" w:rsidR="00E6435C" w:rsidRPr="00F36160" w:rsidRDefault="00F53272" w:rsidP="00DA1C58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color w:val="000000" w:themeColor="text1"/>
                <w:sz w:val="16"/>
                <w:szCs w:val="16"/>
              </w:rPr>
              <w:t>High</w:t>
            </w:r>
          </w:p>
        </w:tc>
      </w:tr>
    </w:tbl>
    <w:p w14:paraId="2A72DFAB" w14:textId="77777777" w:rsidR="00532828" w:rsidRPr="00812A7A" w:rsidRDefault="00532828">
      <w:pPr>
        <w:spacing w:after="160" w:line="259" w:lineRule="auto"/>
      </w:pPr>
    </w:p>
    <w:p w14:paraId="2FAE354B" w14:textId="77777777" w:rsidR="00532828" w:rsidRPr="00812A7A" w:rsidRDefault="00532828">
      <w:pPr>
        <w:spacing w:after="160" w:line="259" w:lineRule="auto"/>
      </w:pPr>
      <w:r w:rsidRPr="00812A7A">
        <w:br w:type="page"/>
      </w: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9"/>
        <w:gridCol w:w="853"/>
        <w:gridCol w:w="1982"/>
        <w:gridCol w:w="4397"/>
        <w:gridCol w:w="281"/>
        <w:gridCol w:w="1985"/>
        <w:gridCol w:w="1986"/>
      </w:tblGrid>
      <w:tr w:rsidR="002B3E49" w:rsidRPr="00812A7A" w14:paraId="4B348982" w14:textId="77777777" w:rsidTr="00DA1C58">
        <w:trPr>
          <w:trHeight w:val="380"/>
        </w:trPr>
        <w:tc>
          <w:tcPr>
            <w:tcW w:w="184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F981A11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lastRenderedPageBreak/>
              <w:t>Indicator ID</w:t>
            </w:r>
          </w:p>
          <w:p w14:paraId="192CEB33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0"/>
                <w:szCs w:val="10"/>
                <w:lang w:eastAsia="en-GB"/>
              </w:rPr>
            </w:pPr>
          </w:p>
          <w:p w14:paraId="6B47C204" w14:textId="6CE2CB4D" w:rsidR="001D40F9" w:rsidRPr="00812A7A" w:rsidRDefault="00CB6D6E" w:rsidP="00DA1C58">
            <w:pPr>
              <w:pStyle w:val="Indicatorsubsection"/>
              <w:rPr>
                <w:lang w:val="en-GB"/>
              </w:rPr>
            </w:pPr>
            <w:bookmarkStart w:id="7" w:name="_Toc122332746"/>
            <w:r w:rsidRPr="00812A7A">
              <w:rPr>
                <w:lang w:val="en-GB"/>
              </w:rPr>
              <w:t>CBM 3</w:t>
            </w:r>
            <w:bookmarkEnd w:id="7"/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3AEB0006" w14:textId="77777777" w:rsidR="001D40F9" w:rsidRPr="00812A7A" w:rsidRDefault="001D40F9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 xml:space="preserve">Dependent on: 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646CC7A9" w14:textId="539E3CA9" w:rsidR="001D40F9" w:rsidRPr="00812A7A" w:rsidRDefault="00CB6D6E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>CBM 1</w:t>
            </w:r>
          </w:p>
        </w:tc>
        <w:tc>
          <w:tcPr>
            <w:tcW w:w="4678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C34844C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Sub-section</w:t>
            </w:r>
            <w:r w:rsidRPr="00812A7A">
              <w:rPr>
                <w:rFonts w:eastAsia="Times New Roman" w:cs="Arial"/>
                <w:sz w:val="14"/>
                <w:szCs w:val="14"/>
                <w:lang w:eastAsia="en-GB"/>
              </w:rPr>
              <w:t> </w:t>
            </w:r>
          </w:p>
          <w:p w14:paraId="45C432A6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12D7D862" w14:textId="66BE7FC4" w:rsidR="001D40F9" w:rsidRPr="00812A7A" w:rsidRDefault="00636087" w:rsidP="00DA1C58">
            <w:pPr>
              <w:jc w:val="center"/>
              <w:rPr>
                <w:sz w:val="18"/>
                <w:szCs w:val="18"/>
              </w:rPr>
            </w:pPr>
            <w:r w:rsidRPr="00812A7A">
              <w:rPr>
                <w:b/>
                <w:bCs/>
                <w:sz w:val="22"/>
                <w:szCs w:val="22"/>
              </w:rPr>
              <w:t>Third-party external assurance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7D94E56A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  <w:t>PRI Principle</w:t>
            </w:r>
          </w:p>
          <w:p w14:paraId="54320E17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1F53687E" w14:textId="5C2D8CDF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22"/>
                <w:szCs w:val="22"/>
                <w:lang w:eastAsia="en-GB"/>
              </w:rPr>
              <w:t>6</w:t>
            </w:r>
            <w:r w:rsidRPr="00812A7A">
              <w:rPr>
                <w:rFonts w:eastAsia="Times New Roman" w:cs="Arial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86" w:type="dxa"/>
            <w:vMerge w:val="restart"/>
            <w:shd w:val="clear" w:color="auto" w:fill="A6A6A6" w:themeFill="background1" w:themeFillShade="A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DDC5EF9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  <w:t>Type of indicator</w:t>
            </w:r>
          </w:p>
          <w:p w14:paraId="6A344EF2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73C5879B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 w:rsidRPr="00812A7A">
              <w:rPr>
                <w:rFonts w:eastAsia="Times New Roman" w:cs="Arial"/>
                <w:b/>
                <w:color w:val="FFFFFF" w:themeColor="background1"/>
                <w:sz w:val="32"/>
                <w:szCs w:val="32"/>
                <w:lang w:eastAsia="en-GB"/>
              </w:rPr>
              <w:t>PLUS</w:t>
            </w:r>
          </w:p>
          <w:p w14:paraId="7BF04283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color w:val="FFFFFF" w:themeColor="background1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0"/>
                <w:szCs w:val="10"/>
                <w:lang w:eastAsia="en-GB"/>
              </w:rPr>
              <w:t>VOLUNTARY TO DISCLOSE</w:t>
            </w:r>
          </w:p>
        </w:tc>
      </w:tr>
      <w:tr w:rsidR="002B3E49" w:rsidRPr="00812A7A" w14:paraId="19F888FA" w14:textId="77777777" w:rsidTr="00B031AB">
        <w:trPr>
          <w:trHeight w:val="380"/>
        </w:trPr>
        <w:tc>
          <w:tcPr>
            <w:tcW w:w="1841" w:type="dxa"/>
            <w:vMerge/>
            <w:shd w:val="clear" w:color="auto" w:fill="F2F2F2" w:themeFill="background1" w:themeFillShade="F2"/>
            <w:vAlign w:val="center"/>
          </w:tcPr>
          <w:p w14:paraId="398C2C0D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182B0CF" w14:textId="77777777" w:rsidR="001D40F9" w:rsidRPr="00812A7A" w:rsidRDefault="001D40F9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Gateway to: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1DC5D6FC" w14:textId="2BC8CB6D" w:rsidR="001D40F9" w:rsidRPr="00812A7A" w:rsidRDefault="00E761E7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8" w:type="dxa"/>
            <w:gridSpan w:val="2"/>
            <w:vMerge/>
            <w:shd w:val="clear" w:color="auto" w:fill="F2F2F2" w:themeFill="background1" w:themeFillShade="F2"/>
            <w:vAlign w:val="center"/>
          </w:tcPr>
          <w:p w14:paraId="49D53699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139C5624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6" w:type="dxa"/>
            <w:vMerge/>
            <w:shd w:val="clear" w:color="auto" w:fill="A6A6A6" w:themeFill="background1" w:themeFillShade="A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FA14C49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1D40F9" w:rsidRPr="00812A7A" w14:paraId="4B28D077" w14:textId="77777777" w:rsidTr="00DA1C58">
        <w:trPr>
          <w:trHeight w:val="567"/>
        </w:trPr>
        <w:tc>
          <w:tcPr>
            <w:tcW w:w="14884" w:type="dxa"/>
            <w:gridSpan w:val="8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3A162E8" w14:textId="6C7C52EC" w:rsidR="001D40F9" w:rsidRPr="00812A7A" w:rsidRDefault="001D40F9" w:rsidP="001D40F9">
            <w:pPr>
              <w:rPr>
                <w:rFonts w:eastAsia="Times New Roman" w:cs="Arial"/>
                <w:b/>
                <w:lang w:eastAsia="en-GB"/>
              </w:rPr>
            </w:pPr>
            <w:r w:rsidRPr="00812A7A">
              <w:rPr>
                <w:rFonts w:eastAsia="Times New Roman" w:cs="Arial"/>
                <w:b/>
                <w:lang w:eastAsia="en-GB"/>
              </w:rPr>
              <w:t xml:space="preserve">Provide details of the </w:t>
            </w:r>
            <w:hyperlink r:id="rId31" w:history="1">
              <w:r w:rsidRPr="00812A7A">
                <w:rPr>
                  <w:rStyle w:val="Hyperlink"/>
                  <w:rFonts w:eastAsia="Times New Roman" w:cs="Arial"/>
                  <w:b/>
                  <w:lang w:eastAsia="en-GB"/>
                </w:rPr>
                <w:t>third</w:t>
              </w:r>
              <w:r w:rsidR="00344285" w:rsidRPr="00812A7A">
                <w:rPr>
                  <w:rStyle w:val="Hyperlink"/>
                  <w:rFonts w:eastAsia="Times New Roman" w:cs="Arial"/>
                  <w:b/>
                  <w:lang w:eastAsia="en-GB"/>
                </w:rPr>
                <w:t>-</w:t>
              </w:r>
              <w:r w:rsidRPr="00812A7A">
                <w:rPr>
                  <w:rStyle w:val="Hyperlink"/>
                  <w:rFonts w:eastAsia="Times New Roman" w:cs="Arial"/>
                  <w:b/>
                  <w:lang w:eastAsia="en-GB"/>
                </w:rPr>
                <w:t>party external assurance</w:t>
              </w:r>
            </w:hyperlink>
            <w:r w:rsidR="00BF6308" w:rsidRPr="00812A7A">
              <w:rPr>
                <w:rStyle w:val="Hyperlink"/>
                <w:rFonts w:eastAsia="Times New Roman" w:cs="Arial"/>
                <w:b/>
                <w:lang w:eastAsia="en-GB"/>
              </w:rPr>
              <w:t xml:space="preserve"> </w:t>
            </w:r>
            <w:r w:rsidR="00BF6308" w:rsidRPr="00F36160">
              <w:rPr>
                <w:b/>
                <w:bCs/>
              </w:rPr>
              <w:t>process</w:t>
            </w:r>
            <w:r w:rsidR="00482EDA" w:rsidRPr="00812A7A">
              <w:t xml:space="preserve"> </w:t>
            </w:r>
            <w:r w:rsidR="00482EDA" w:rsidRPr="00812A7A">
              <w:rPr>
                <w:rFonts w:eastAsia="Times New Roman" w:cs="Arial"/>
                <w:b/>
                <w:lang w:eastAsia="en-GB"/>
              </w:rPr>
              <w:t>regarding the information</w:t>
            </w:r>
            <w:r w:rsidR="00AE72A2" w:rsidRPr="00812A7A">
              <w:rPr>
                <w:rFonts w:eastAsia="Times New Roman" w:cs="Arial"/>
                <w:b/>
                <w:lang w:eastAsia="en-GB"/>
              </w:rPr>
              <w:t xml:space="preserve"> submitted</w:t>
            </w:r>
            <w:r w:rsidR="00482EDA" w:rsidRPr="00812A7A">
              <w:rPr>
                <w:rFonts w:eastAsia="Times New Roman" w:cs="Arial"/>
                <w:b/>
                <w:lang w:eastAsia="en-GB"/>
              </w:rPr>
              <w:t xml:space="preserve"> in your PRI </w:t>
            </w:r>
            <w:r w:rsidR="00A14995" w:rsidRPr="00812A7A">
              <w:rPr>
                <w:rFonts w:eastAsia="Times New Roman" w:cs="Arial"/>
                <w:b/>
                <w:lang w:eastAsia="en-GB"/>
              </w:rPr>
              <w:t>report</w:t>
            </w:r>
            <w:r w:rsidRPr="00812A7A">
              <w:rPr>
                <w:rFonts w:eastAsia="Times New Roman" w:cs="Arial"/>
                <w:b/>
                <w:lang w:eastAsia="en-GB"/>
              </w:rPr>
              <w:t xml:space="preserve">. </w:t>
            </w:r>
          </w:p>
          <w:p w14:paraId="49C0AB83" w14:textId="77777777" w:rsidR="00B62510" w:rsidRPr="00812A7A" w:rsidRDefault="00B62510" w:rsidP="001D40F9">
            <w:pPr>
              <w:rPr>
                <w:rFonts w:eastAsia="Times New Roman" w:cs="Arial"/>
                <w:b/>
                <w:lang w:eastAsia="en-GB"/>
              </w:rPr>
            </w:pPr>
          </w:p>
          <w:p w14:paraId="6EABAD6B" w14:textId="0ED0795A" w:rsidR="001D40F9" w:rsidRPr="00812A7A" w:rsidRDefault="001D40F9" w:rsidP="001D40F9">
            <w:pPr>
              <w:rPr>
                <w:rFonts w:eastAsia="Times New Roman" w:cs="Arial"/>
                <w:bCs/>
                <w:i/>
                <w:lang w:eastAsia="en-GB"/>
              </w:rPr>
            </w:pPr>
            <w:r w:rsidRPr="00812A7A">
              <w:rPr>
                <w:rFonts w:eastAsia="Times New Roman" w:cs="Arial"/>
                <w:bCs/>
                <w:i/>
                <w:lang w:eastAsia="en-GB"/>
              </w:rPr>
              <w:t xml:space="preserve">Include details such as the level of assurance attained, </w:t>
            </w:r>
            <w:r w:rsidR="004B197B" w:rsidRPr="00812A7A">
              <w:rPr>
                <w:rFonts w:eastAsia="Times New Roman" w:cs="Arial"/>
                <w:bCs/>
                <w:i/>
                <w:lang w:eastAsia="en-GB"/>
              </w:rPr>
              <w:t xml:space="preserve">what information was assured, </w:t>
            </w:r>
            <w:r w:rsidRPr="00812A7A">
              <w:rPr>
                <w:rFonts w:eastAsia="Times New Roman" w:cs="Arial"/>
                <w:bCs/>
                <w:i/>
                <w:lang w:eastAsia="en-GB"/>
              </w:rPr>
              <w:t xml:space="preserve">who conducted it, limitations, </w:t>
            </w:r>
            <w:r w:rsidR="005002F5" w:rsidRPr="00812A7A">
              <w:rPr>
                <w:rFonts w:eastAsia="Times New Roman" w:cs="Arial"/>
                <w:bCs/>
                <w:i/>
                <w:lang w:eastAsia="en-GB"/>
              </w:rPr>
              <w:t xml:space="preserve">the </w:t>
            </w:r>
            <w:r w:rsidRPr="00812A7A">
              <w:rPr>
                <w:rFonts w:eastAsia="Times New Roman" w:cs="Arial"/>
                <w:bCs/>
                <w:i/>
                <w:lang w:eastAsia="en-GB"/>
              </w:rPr>
              <w:t xml:space="preserve">expertise of </w:t>
            </w:r>
            <w:r w:rsidR="00B267F6" w:rsidRPr="00812A7A">
              <w:rPr>
                <w:rFonts w:eastAsia="Times New Roman" w:cs="Arial"/>
                <w:bCs/>
                <w:i/>
                <w:lang w:eastAsia="en-GB"/>
              </w:rPr>
              <w:t xml:space="preserve">the </w:t>
            </w:r>
            <w:r w:rsidRPr="00812A7A">
              <w:rPr>
                <w:rFonts w:eastAsia="Times New Roman" w:cs="Arial"/>
                <w:bCs/>
                <w:i/>
                <w:lang w:eastAsia="en-GB"/>
              </w:rPr>
              <w:t xml:space="preserve">assurer </w:t>
            </w:r>
            <w:r w:rsidR="0036710B">
              <w:rPr>
                <w:rFonts w:eastAsia="Times New Roman" w:cs="Arial"/>
                <w:bCs/>
                <w:i/>
                <w:lang w:eastAsia="en-GB"/>
              </w:rPr>
              <w:t>regarding</w:t>
            </w:r>
            <w:r w:rsidR="0036710B" w:rsidRPr="00812A7A">
              <w:rPr>
                <w:rFonts w:eastAsia="Times New Roman" w:cs="Arial"/>
                <w:bCs/>
                <w:i/>
                <w:lang w:eastAsia="en-GB"/>
              </w:rPr>
              <w:t xml:space="preserve"> </w:t>
            </w:r>
            <w:r w:rsidRPr="00812A7A">
              <w:rPr>
                <w:rFonts w:eastAsia="Times New Roman" w:cs="Arial"/>
                <w:bCs/>
                <w:i/>
                <w:lang w:eastAsia="en-GB"/>
              </w:rPr>
              <w:t xml:space="preserve">the </w:t>
            </w:r>
            <w:r w:rsidR="0036710B">
              <w:rPr>
                <w:rFonts w:eastAsia="Times New Roman" w:cs="Arial"/>
                <w:bCs/>
                <w:i/>
                <w:lang w:eastAsia="en-GB"/>
              </w:rPr>
              <w:t xml:space="preserve">reviewed </w:t>
            </w:r>
            <w:r w:rsidRPr="00812A7A">
              <w:rPr>
                <w:rFonts w:eastAsia="Times New Roman" w:cs="Arial"/>
                <w:bCs/>
                <w:i/>
                <w:lang w:eastAsia="en-GB"/>
              </w:rPr>
              <w:t xml:space="preserve">subject matter and/or </w:t>
            </w:r>
            <w:r w:rsidR="0036710B">
              <w:rPr>
                <w:rFonts w:eastAsia="Times New Roman" w:cs="Arial"/>
                <w:bCs/>
                <w:i/>
                <w:lang w:eastAsia="en-GB"/>
              </w:rPr>
              <w:t xml:space="preserve">the </w:t>
            </w:r>
            <w:r w:rsidRPr="00812A7A">
              <w:rPr>
                <w:rFonts w:eastAsia="Times New Roman" w:cs="Arial"/>
                <w:bCs/>
                <w:i/>
                <w:lang w:eastAsia="en-GB"/>
              </w:rPr>
              <w:t>usage of multiple standards.</w:t>
            </w:r>
          </w:p>
        </w:tc>
      </w:tr>
      <w:tr w:rsidR="002F41B2" w:rsidRPr="00812A7A" w14:paraId="3E5DF96C" w14:textId="77777777" w:rsidTr="00F36160">
        <w:trPr>
          <w:trHeight w:val="567"/>
        </w:trPr>
        <w:tc>
          <w:tcPr>
            <w:tcW w:w="4253" w:type="dxa"/>
            <w:gridSpan w:val="3"/>
            <w:shd w:val="clear" w:color="auto" w:fill="EDEDED" w:themeFill="accent3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E6D930E" w14:textId="7FEEE686" w:rsidR="002F41B2" w:rsidRPr="00812A7A" w:rsidRDefault="009B3EE7" w:rsidP="00F36160">
            <w:pPr>
              <w:jc w:val="center"/>
              <w:rPr>
                <w:rFonts w:eastAsia="Times New Roman" w:cs="Arial"/>
                <w:b/>
                <w:bCs/>
                <w:szCs w:val="16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Cs w:val="16"/>
                <w:lang w:eastAsia="en-GB"/>
              </w:rPr>
              <w:t xml:space="preserve">(1) </w:t>
            </w:r>
            <w:r w:rsidR="002F41B2" w:rsidRPr="00812A7A">
              <w:rPr>
                <w:rFonts w:eastAsia="Times New Roman" w:cs="Arial"/>
                <w:b/>
                <w:bCs/>
                <w:szCs w:val="16"/>
                <w:lang w:eastAsia="en-GB"/>
              </w:rPr>
              <w:t>Description of the third-party external assurance process</w:t>
            </w:r>
          </w:p>
        </w:tc>
        <w:tc>
          <w:tcPr>
            <w:tcW w:w="6379" w:type="dxa"/>
            <w:gridSpan w:val="2"/>
            <w:shd w:val="clear" w:color="auto" w:fill="EDEDED" w:themeFill="accent3" w:themeFillTint="33"/>
            <w:vAlign w:val="center"/>
          </w:tcPr>
          <w:p w14:paraId="6CAF5161" w14:textId="61325094" w:rsidR="002F41B2" w:rsidRPr="00812A7A" w:rsidRDefault="00032C88" w:rsidP="00F36160">
            <w:pPr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lang w:eastAsia="en-GB"/>
              </w:rPr>
              <w:t xml:space="preserve">(2) </w:t>
            </w:r>
            <w:r w:rsidR="002F41B2" w:rsidRPr="00812A7A">
              <w:rPr>
                <w:rFonts w:eastAsia="Times New Roman" w:cs="Arial"/>
                <w:b/>
                <w:bCs/>
                <w:lang w:eastAsia="en-GB"/>
              </w:rPr>
              <w:t>Assurance stan</w:t>
            </w:r>
            <w:r w:rsidR="00D7565C" w:rsidRPr="00812A7A">
              <w:rPr>
                <w:rFonts w:eastAsia="Times New Roman" w:cs="Arial"/>
                <w:b/>
                <w:bCs/>
                <w:lang w:eastAsia="en-GB"/>
              </w:rPr>
              <w:t>dard</w:t>
            </w:r>
            <w:r w:rsidR="0036710B">
              <w:rPr>
                <w:rFonts w:eastAsia="Times New Roman" w:cs="Arial"/>
                <w:b/>
                <w:bCs/>
                <w:lang w:eastAsia="en-GB"/>
              </w:rPr>
              <w:t>(s)</w:t>
            </w:r>
            <w:r w:rsidR="00D7565C" w:rsidRPr="00812A7A">
              <w:rPr>
                <w:rFonts w:eastAsia="Times New Roman" w:cs="Arial"/>
                <w:b/>
                <w:bCs/>
                <w:lang w:eastAsia="en-GB"/>
              </w:rPr>
              <w:t xml:space="preserve"> used</w:t>
            </w:r>
            <w:r w:rsidRPr="00812A7A">
              <w:rPr>
                <w:rFonts w:eastAsia="Times New Roman" w:cs="Arial"/>
                <w:b/>
                <w:bCs/>
                <w:lang w:eastAsia="en-GB"/>
              </w:rPr>
              <w:t xml:space="preserve"> by the third-party assurance provider</w:t>
            </w:r>
          </w:p>
        </w:tc>
        <w:tc>
          <w:tcPr>
            <w:tcW w:w="4252" w:type="dxa"/>
            <w:gridSpan w:val="3"/>
            <w:shd w:val="clear" w:color="auto" w:fill="EDEDED" w:themeFill="accent3" w:themeFillTint="33"/>
            <w:vAlign w:val="center"/>
          </w:tcPr>
          <w:p w14:paraId="1CD1F984" w14:textId="6ECC1B21" w:rsidR="002F41B2" w:rsidRPr="00812A7A" w:rsidRDefault="009B3EE7" w:rsidP="00F36160">
            <w:pPr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 w:rsidRPr="00812A7A">
              <w:rPr>
                <w:b/>
                <w:bCs/>
              </w:rPr>
              <w:t xml:space="preserve">(3) </w:t>
            </w:r>
            <w:r w:rsidR="00D7565C" w:rsidRPr="00812A7A">
              <w:rPr>
                <w:b/>
                <w:bCs/>
              </w:rPr>
              <w:t>Third-party external assurance</w:t>
            </w:r>
            <w:r w:rsidR="00D7565C" w:rsidRPr="00812A7A">
              <w:rPr>
                <w:rFonts w:eastAsia="Times New Roman" w:cs="Arial"/>
                <w:b/>
                <w:bCs/>
                <w:lang w:eastAsia="en-GB"/>
              </w:rPr>
              <w:t xml:space="preserve"> </w:t>
            </w:r>
            <w:r w:rsidR="00FF5E05" w:rsidRPr="00812A7A">
              <w:rPr>
                <w:rFonts w:eastAsia="Times New Roman" w:cs="Arial"/>
                <w:b/>
                <w:bCs/>
                <w:lang w:eastAsia="en-GB"/>
              </w:rPr>
              <w:t>provider</w:t>
            </w:r>
            <w:r w:rsidR="00FF5E05">
              <w:rPr>
                <w:rFonts w:eastAsia="Times New Roman" w:cs="Arial"/>
                <w:b/>
                <w:bCs/>
                <w:lang w:eastAsia="en-GB"/>
              </w:rPr>
              <w:t>’</w:t>
            </w:r>
            <w:r w:rsidR="00FF5E05" w:rsidRPr="00812A7A">
              <w:rPr>
                <w:rFonts w:eastAsia="Times New Roman" w:cs="Arial"/>
                <w:b/>
                <w:bCs/>
                <w:lang w:eastAsia="en-GB"/>
              </w:rPr>
              <w:t xml:space="preserve">s </w:t>
            </w:r>
            <w:r w:rsidR="00D7565C" w:rsidRPr="00812A7A">
              <w:rPr>
                <w:rFonts w:eastAsia="Times New Roman" w:cs="Arial"/>
                <w:b/>
                <w:bCs/>
                <w:lang w:eastAsia="en-GB"/>
              </w:rPr>
              <w:t>report that contains the assurance conclusion</w:t>
            </w:r>
          </w:p>
        </w:tc>
      </w:tr>
      <w:tr w:rsidR="00F364AB" w:rsidRPr="00812A7A" w14:paraId="0856487C" w14:textId="77777777" w:rsidTr="00F36160">
        <w:trPr>
          <w:trHeight w:val="567"/>
        </w:trPr>
        <w:tc>
          <w:tcPr>
            <w:tcW w:w="4253" w:type="dxa"/>
            <w:gridSpan w:val="3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10DC5E8" w14:textId="2739ABFD" w:rsidR="00F364AB" w:rsidRPr="00812A7A" w:rsidRDefault="00F364AB" w:rsidP="001D40F9">
            <w:pPr>
              <w:rPr>
                <w:rFonts w:eastAsia="Times New Roman" w:cs="Arial"/>
                <w:b/>
                <w:lang w:eastAsia="en-GB"/>
              </w:rPr>
            </w:pPr>
            <w:r w:rsidRPr="00812A7A">
              <w:rPr>
                <w:rFonts w:eastAsia="Times New Roman" w:cs="Arial"/>
                <w:bCs/>
                <w:lang w:eastAsia="en-GB"/>
              </w:rPr>
              <w:t xml:space="preserve">______ 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[Voluntary free text: medium]</w:t>
            </w: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7417ADAB" w14:textId="398C5260" w:rsidR="00076448" w:rsidRDefault="00076448" w:rsidP="00076448">
            <w:pPr>
              <w:rPr>
                <w:rFonts w:eastAsia="Times New Roman" w:cs="Arial"/>
                <w:bCs/>
                <w:lang w:eastAsia="en-GB"/>
              </w:rPr>
            </w:pPr>
            <w:r w:rsidRPr="00812A7A">
              <w:rPr>
                <w:rFonts w:eastAsia="Times New Roman" w:cs="Arial"/>
                <w:bCs/>
                <w:lang w:eastAsia="en-GB"/>
              </w:rPr>
              <w:t>[Mult</w:t>
            </w:r>
            <w:r w:rsidR="00376319" w:rsidRPr="00812A7A">
              <w:rPr>
                <w:rFonts w:eastAsia="Times New Roman" w:cs="Arial"/>
                <w:bCs/>
                <w:lang w:eastAsia="en-GB"/>
              </w:rPr>
              <w:t>i</w:t>
            </w:r>
            <w:r w:rsidRPr="00812A7A">
              <w:rPr>
                <w:rFonts w:eastAsia="Times New Roman" w:cs="Arial"/>
                <w:bCs/>
                <w:lang w:eastAsia="en-GB"/>
              </w:rPr>
              <w:t>-select dropdown</w:t>
            </w:r>
            <w:r w:rsidR="00376319" w:rsidRPr="00812A7A">
              <w:rPr>
                <w:rFonts w:eastAsia="Times New Roman" w:cs="Arial"/>
                <w:bCs/>
                <w:lang w:eastAsia="en-GB"/>
              </w:rPr>
              <w:t xml:space="preserve"> list</w:t>
            </w:r>
            <w:r w:rsidRPr="00812A7A">
              <w:rPr>
                <w:rFonts w:eastAsia="Times New Roman" w:cs="Arial"/>
                <w:bCs/>
                <w:lang w:eastAsia="en-GB"/>
              </w:rPr>
              <w:t>]</w:t>
            </w:r>
          </w:p>
          <w:p w14:paraId="5740F4F5" w14:textId="77777777" w:rsidR="00AA6386" w:rsidRPr="00812A7A" w:rsidRDefault="00AA6386" w:rsidP="00076448">
            <w:pPr>
              <w:rPr>
                <w:rFonts w:eastAsia="Times New Roman" w:cs="Arial"/>
                <w:bCs/>
                <w:lang w:eastAsia="en-GB"/>
              </w:rPr>
            </w:pPr>
          </w:p>
          <w:p w14:paraId="4B6E695D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 xml:space="preserve">(A) PAS 7341:2020 </w:t>
            </w:r>
          </w:p>
          <w:p w14:paraId="65CCF285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(B) ISAE 3000 and national standards based on this</w:t>
            </w:r>
          </w:p>
          <w:p w14:paraId="0280BB13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(C) Dutch Standard 3810N (Assurance engagements regarding sustainability reports)</w:t>
            </w:r>
          </w:p>
          <w:p w14:paraId="1F958AD1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(D) RevR6 (Assurance of Sustainability)</w:t>
            </w:r>
          </w:p>
          <w:p w14:paraId="46FB2F45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(E) IDW AsS 821 (Assurance Standard for the Audit or Review of Reports on Sustainability Issues)</w:t>
            </w:r>
          </w:p>
          <w:p w14:paraId="2D515584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(F) Accountability AA1000 Assurance Standard (AA1000AS)</w:t>
            </w:r>
          </w:p>
          <w:p w14:paraId="244A6E90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(G) IFC performance standards</w:t>
            </w:r>
          </w:p>
          <w:p w14:paraId="56805A56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(H) SSAE 18 and SOC 1</w:t>
            </w:r>
          </w:p>
          <w:p w14:paraId="15166EC9" w14:textId="76865A49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(I) Other national auditing/assurance standard with guidance on sustainability</w:t>
            </w:r>
            <w:r w:rsidR="0036710B">
              <w:rPr>
                <w:rFonts w:eastAsia="Times New Roman" w:cs="Arial"/>
                <w:szCs w:val="16"/>
                <w:lang w:eastAsia="en-GB"/>
              </w:rPr>
              <w:t>;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Pr="00812A7A">
              <w:rPr>
                <w:rStyle w:val="normaltextrun"/>
                <w:rFonts w:cs="Arial"/>
                <w:color w:val="000000"/>
                <w:shd w:val="clear" w:color="auto" w:fill="FFFFFF"/>
              </w:rPr>
              <w:t>specify: ____ [Free text: small]</w:t>
            </w:r>
          </w:p>
          <w:p w14:paraId="18A4CAD2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(J) Invest Europe Handbook of Professional Standards</w:t>
            </w:r>
          </w:p>
          <w:p w14:paraId="05059DCE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(K) ISAE 3402 Assurance Reports on Controls at a Service Organisation</w:t>
            </w:r>
          </w:p>
          <w:p w14:paraId="43838E33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(L) AAF 01/20</w:t>
            </w:r>
          </w:p>
          <w:p w14:paraId="28F3145E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lastRenderedPageBreak/>
              <w:t>(M) AAF 01/06 Stewardship Supplement</w:t>
            </w:r>
          </w:p>
          <w:p w14:paraId="10612BD3" w14:textId="77777777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(N) ISO 26000 Social Responsibility</w:t>
            </w:r>
          </w:p>
          <w:p w14:paraId="082071D2" w14:textId="3E515EFE" w:rsidR="00F83B80" w:rsidRPr="00812A7A" w:rsidRDefault="00F83B80" w:rsidP="006C6C71">
            <w:pPr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(O) ISO 14065:2020 General principles and requirements for bodies validating and verifying environmental information</w:t>
            </w:r>
          </w:p>
          <w:p w14:paraId="7ADAF0AD" w14:textId="3538688E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F83B80" w:rsidRPr="00812A7A">
              <w:rPr>
                <w:rFonts w:eastAsia="Times New Roman" w:cs="Arial"/>
                <w:szCs w:val="16"/>
                <w:lang w:eastAsia="en-GB"/>
              </w:rPr>
              <w:t>P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) ASAE 3410 Assurance Engagements on Greenhouse Gas Statements</w:t>
            </w:r>
          </w:p>
          <w:p w14:paraId="3C501170" w14:textId="500FEE12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F83B80" w:rsidRPr="00812A7A">
              <w:rPr>
                <w:rFonts w:eastAsia="Times New Roman" w:cs="Arial"/>
                <w:szCs w:val="16"/>
                <w:lang w:eastAsia="en-GB"/>
              </w:rPr>
              <w:t>Q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) PCAF</w:t>
            </w:r>
          </w:p>
          <w:p w14:paraId="66B9C170" w14:textId="0E2D0441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F83B80" w:rsidRPr="00812A7A">
              <w:rPr>
                <w:rFonts w:eastAsia="Times New Roman" w:cs="Arial"/>
                <w:szCs w:val="16"/>
                <w:lang w:eastAsia="en-GB"/>
              </w:rPr>
              <w:t>R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) NGER audit framework (National Greenhouse and Energy Repor</w:t>
            </w:r>
            <w:r w:rsidR="002E543F" w:rsidRPr="00812A7A">
              <w:rPr>
                <w:rFonts w:eastAsia="Times New Roman" w:cs="Arial"/>
                <w:szCs w:val="16"/>
                <w:lang w:eastAsia="en-GB"/>
              </w:rPr>
              <w:t>tin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g)</w:t>
            </w:r>
          </w:p>
          <w:p w14:paraId="7F3ED806" w14:textId="7008F1AD" w:rsidR="00076448" w:rsidRPr="00812A7A" w:rsidRDefault="00076448" w:rsidP="00076448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 w:rsidRPr="00812A7A">
              <w:rPr>
                <w:rFonts w:eastAsia="Times New Roman" w:cs="Arial"/>
                <w:lang w:eastAsia="en-GB"/>
              </w:rPr>
              <w:t>(</w:t>
            </w:r>
            <w:r w:rsidR="00F83B80" w:rsidRPr="00812A7A">
              <w:rPr>
                <w:rFonts w:eastAsia="Times New Roman" w:cs="Arial"/>
                <w:lang w:eastAsia="en-GB"/>
              </w:rPr>
              <w:t>S</w:t>
            </w:r>
            <w:r w:rsidRPr="00812A7A">
              <w:rPr>
                <w:rFonts w:eastAsia="Times New Roman" w:cs="Arial"/>
                <w:lang w:eastAsia="en-GB"/>
              </w:rPr>
              <w:t>) Auditor’s proprietary assurance framework for assuring RI-related information</w:t>
            </w:r>
          </w:p>
          <w:p w14:paraId="386E3F61" w14:textId="1B42A02D" w:rsidR="00B433E3" w:rsidRPr="00812A7A" w:rsidRDefault="00076448" w:rsidP="00076448">
            <w:pPr>
              <w:rPr>
                <w:rFonts w:eastAsia="Times New Roman" w:cs="Arial"/>
                <w:bCs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F83B80" w:rsidRPr="00812A7A">
              <w:rPr>
                <w:rFonts w:eastAsia="Times New Roman" w:cs="Arial"/>
                <w:szCs w:val="16"/>
                <w:lang w:eastAsia="en-GB"/>
              </w:rPr>
              <w:t>T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 xml:space="preserve">) Other greenhouse gas emissions assurance standard, </w:t>
            </w:r>
            <w:r w:rsidRPr="00812A7A">
              <w:rPr>
                <w:rStyle w:val="normaltextrun"/>
                <w:rFonts w:cs="Arial"/>
                <w:color w:val="000000"/>
                <w:shd w:val="clear" w:color="auto" w:fill="FFFFFF"/>
              </w:rPr>
              <w:t>specify: ____ [Free text: small]</w:t>
            </w:r>
          </w:p>
        </w:tc>
        <w:tc>
          <w:tcPr>
            <w:tcW w:w="4252" w:type="dxa"/>
            <w:gridSpan w:val="3"/>
            <w:shd w:val="clear" w:color="auto" w:fill="FFFFFF" w:themeFill="background1"/>
            <w:vAlign w:val="center"/>
          </w:tcPr>
          <w:p w14:paraId="678AB5DB" w14:textId="29B122DE" w:rsidR="00076448" w:rsidRPr="00812A7A" w:rsidRDefault="00076448" w:rsidP="00076448">
            <w:pPr>
              <w:rPr>
                <w:rFonts w:eastAsia="Times New Roman" w:cs="Arial"/>
                <w:bCs/>
                <w:lang w:eastAsia="en-GB"/>
              </w:rPr>
            </w:pPr>
            <w:r w:rsidRPr="00812A7A">
              <w:rPr>
                <w:rFonts w:eastAsia="Times New Roman" w:cs="Arial"/>
                <w:bCs/>
                <w:lang w:eastAsia="en-GB"/>
              </w:rPr>
              <w:lastRenderedPageBreak/>
              <w:t>Attachment or link: ______</w:t>
            </w:r>
            <w:r w:rsidR="00B9272F" w:rsidRPr="00812A7A">
              <w:rPr>
                <w:rFonts w:eastAsia="Times New Roman" w:cs="Arial"/>
                <w:bCs/>
                <w:lang w:eastAsia="en-GB"/>
              </w:rPr>
              <w:t xml:space="preserve"> [Voluntary]</w:t>
            </w:r>
          </w:p>
          <w:p w14:paraId="31DD0D5C" w14:textId="64A07AE1" w:rsidR="00F623F4" w:rsidRPr="00812A7A" w:rsidRDefault="00F623F4" w:rsidP="006C6C71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</w:p>
        </w:tc>
      </w:tr>
      <w:tr w:rsidR="001D40F9" w:rsidRPr="00812A7A" w14:paraId="6DEA913C" w14:textId="77777777" w:rsidTr="00DA1C58">
        <w:trPr>
          <w:trHeight w:val="300"/>
        </w:trPr>
        <w:tc>
          <w:tcPr>
            <w:tcW w:w="1488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7133DE78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1D40F9" w:rsidRPr="00812A7A" w14:paraId="5CF18806" w14:textId="77777777" w:rsidTr="00DA1C58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5AD29D83" w14:textId="77777777" w:rsidR="001D40F9" w:rsidRPr="00812A7A" w:rsidRDefault="001D40F9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Explanatory notes</w:t>
            </w:r>
          </w:p>
        </w:tc>
      </w:tr>
      <w:tr w:rsidR="001D40F9" w:rsidRPr="00812A7A" w14:paraId="4353CB7B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8FC3B6D" w14:textId="77777777" w:rsidR="001D40F9" w:rsidRPr="00812A7A" w:rsidRDefault="001D40F9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Purpose of indicator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1BB0CA4A" w14:textId="4EF8B4B7" w:rsidR="00C76FA4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The PRI aims to increase signatories</w:t>
            </w:r>
            <w:r w:rsidR="00F82597" w:rsidRPr="00812A7A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accountability as part of its 10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year </w:t>
            </w:r>
            <w:hyperlink r:id="rId32" w:history="1">
              <w:r w:rsidRPr="00812A7A">
                <w:rPr>
                  <w:rStyle w:val="Hyperlink"/>
                  <w:sz w:val="16"/>
                  <w:szCs w:val="16"/>
                </w:rPr>
                <w:t>Blueprint for Responsible Investment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 Undertaking confidence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building measures will enhance the credibility of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the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ESG disclosures </w:t>
            </w:r>
            <w:r w:rsidR="0036710B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signatories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made to the PRI in this submission, their reporting to clients or beneficiaries and elsewhere. External third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party assurance is the strongest, most impartial and 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m</w:t>
            </w:r>
            <w:r w:rsidR="00B267F6" w:rsidRPr="00812A7A">
              <w:rPr>
                <w:rStyle w:val="Hyperlink"/>
                <w:color w:val="000000" w:themeColor="text1"/>
                <w:sz w:val="16"/>
              </w:rPr>
              <w:t xml:space="preserve">ost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credible confidence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building measure.</w:t>
            </w:r>
          </w:p>
          <w:p w14:paraId="6B3B623F" w14:textId="77777777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3F8097FE" w14:textId="02E88C7A" w:rsidR="00497502" w:rsidRPr="00812A7A" w:rsidRDefault="001D40F9" w:rsidP="00212A30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This indicator allows signatories to provide details about their assurance process</w:t>
            </w:r>
            <w:r w:rsidR="00C26576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and </w:t>
            </w:r>
            <w:r w:rsidR="00C76FA4" w:rsidRPr="00812A7A">
              <w:rPr>
                <w:rStyle w:val="Hyperlink"/>
                <w:color w:val="000000" w:themeColor="text1"/>
                <w:sz w:val="16"/>
                <w:szCs w:val="16"/>
              </w:rPr>
              <w:t>the standard</w:t>
            </w:r>
            <w:r w:rsidR="006E565F" w:rsidRPr="00812A7A">
              <w:rPr>
                <w:rStyle w:val="Hyperlink"/>
                <w:color w:val="000000" w:themeColor="text1"/>
                <w:sz w:val="16"/>
                <w:szCs w:val="16"/>
              </w:rPr>
              <w:t>(s) to which the external assurance was performed</w:t>
            </w:r>
            <w:r w:rsidR="00BD51FC" w:rsidRPr="00812A7A">
              <w:rPr>
                <w:rStyle w:val="Hyperlink"/>
                <w:color w:val="000000" w:themeColor="text1"/>
                <w:sz w:val="16"/>
                <w:szCs w:val="16"/>
              </w:rPr>
              <w:t>.</w:t>
            </w:r>
          </w:p>
        </w:tc>
      </w:tr>
      <w:tr w:rsidR="001D40F9" w:rsidRPr="00812A7A" w14:paraId="040C5E68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00B21038" w14:textId="77777777" w:rsidR="001D40F9" w:rsidRPr="00812A7A" w:rsidRDefault="001D40F9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Additional reporting guidance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237427FC" w14:textId="5EC34C63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In</w:t>
            </w:r>
            <w:r w:rsidR="001412D9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(1)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="001412D9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="001412D9" w:rsidRPr="00812A7A">
              <w:rPr>
                <w:rStyle w:val="Hyperlink"/>
                <w:color w:val="000000" w:themeColor="text1"/>
                <w:sz w:val="16"/>
                <w:szCs w:val="16"/>
              </w:rPr>
              <w:t>Description of the third-party external assurance process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’,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signatories may want to describe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 the following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:</w:t>
            </w:r>
          </w:p>
          <w:p w14:paraId="3A2EBBF3" w14:textId="46C7B3AD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i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) what was assured and the subset of data from that report included in this submission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</w:p>
          <w:p w14:paraId="2DED251B" w14:textId="3F48A21F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ii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) the date of completion of the assurance engagement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</w:p>
          <w:p w14:paraId="7DB54FC0" w14:textId="347FE7CB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i</w:t>
            </w:r>
            <w:r w:rsidR="00B267F6" w:rsidRPr="00812A7A">
              <w:rPr>
                <w:rStyle w:val="Hyperlink"/>
                <w:color w:val="000000" w:themeColor="text1"/>
                <w:sz w:val="16"/>
              </w:rPr>
              <w:t>ii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) who performed the assurance and any specific expertise they may have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</w:p>
          <w:p w14:paraId="2FC17BE0" w14:textId="64EE3DB7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i</w:t>
            </w:r>
            <w:r w:rsidR="00B267F6" w:rsidRPr="00812A7A">
              <w:rPr>
                <w:rStyle w:val="Hyperlink"/>
                <w:color w:val="000000" w:themeColor="text1"/>
                <w:sz w:val="16"/>
              </w:rPr>
              <w:t>v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) the scope and limitations of the engagement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</w:p>
          <w:p w14:paraId="2CBA156C" w14:textId="2D1AEA89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v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) what duties the assurers performed, such as verifying data, interviewing staff members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or testing internal controls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</w:p>
          <w:p w14:paraId="79D489ED" w14:textId="7CA44B7A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v</w:t>
            </w:r>
            <w:r w:rsidR="00B267F6" w:rsidRPr="00812A7A">
              <w:rPr>
                <w:rStyle w:val="Hyperlink"/>
                <w:color w:val="000000" w:themeColor="text1"/>
                <w:sz w:val="16"/>
              </w:rPr>
              <w:t>i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) whether multiple standards were used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and</w:t>
            </w:r>
          </w:p>
          <w:p w14:paraId="13144563" w14:textId="05566AD4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v</w:t>
            </w:r>
            <w:r w:rsidR="00B267F6" w:rsidRPr="00812A7A">
              <w:rPr>
                <w:rStyle w:val="Hyperlink"/>
                <w:color w:val="000000" w:themeColor="text1"/>
                <w:sz w:val="16"/>
              </w:rPr>
              <w:t>ii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) who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 xml:space="preserve">had access to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the assurance opinion.</w:t>
            </w:r>
          </w:p>
          <w:p w14:paraId="24EDBDDE" w14:textId="4F99BCC6" w:rsidR="00032C88" w:rsidRPr="00812A7A" w:rsidRDefault="00032C88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18B4A8CB" w14:textId="54495A91" w:rsidR="00BB1BA6" w:rsidRPr="00812A7A" w:rsidRDefault="00032C88" w:rsidP="00BB1BA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In (2)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Assurance standard used by the third-party assurance provider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, s</w:t>
            </w:r>
            <w:r w:rsidR="00BB1BA6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ignatories should select the appropriate </w:t>
            </w:r>
            <w:r w:rsidR="00297234">
              <w:rPr>
                <w:rStyle w:val="Hyperlink"/>
                <w:color w:val="000000" w:themeColor="text1"/>
                <w:sz w:val="16"/>
                <w:szCs w:val="16"/>
              </w:rPr>
              <w:t xml:space="preserve">answer </w:t>
            </w:r>
            <w:r w:rsidR="00BB1BA6" w:rsidRPr="00812A7A">
              <w:rPr>
                <w:rStyle w:val="Hyperlink"/>
                <w:color w:val="000000" w:themeColor="text1"/>
                <w:sz w:val="16"/>
                <w:szCs w:val="16"/>
              </w:rPr>
              <w:t>options where externally assured information has been used in their submissions to the PRI for this reporting year.</w:t>
            </w:r>
            <w:r w:rsidR="009C7E2B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BB1BA6" w:rsidRPr="00812A7A">
              <w:rPr>
                <w:rStyle w:val="Hyperlink"/>
                <w:color w:val="000000" w:themeColor="text1"/>
                <w:sz w:val="16"/>
                <w:szCs w:val="16"/>
              </w:rPr>
              <w:t>The list of third-party external assurance providers is not exhaustive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, but it</w:t>
            </w:r>
            <w:r w:rsidR="00BB1BA6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is a good indication of the standards the PRI understands are more widespread and used by PRI signatories.</w:t>
            </w:r>
          </w:p>
          <w:p w14:paraId="1B25C72B" w14:textId="77777777" w:rsidR="00BB1BA6" w:rsidRPr="00812A7A" w:rsidRDefault="00BB1BA6" w:rsidP="00BB1BA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651B8229" w14:textId="1D245EA5" w:rsidR="00B9272F" w:rsidRPr="00812A7A" w:rsidRDefault="00B9272F" w:rsidP="00B9272F">
            <w:pPr>
              <w:rPr>
                <w:b/>
                <w:color w:val="000000" w:themeColor="text1"/>
                <w:sz w:val="16"/>
                <w:szCs w:val="16"/>
              </w:rPr>
            </w:pPr>
            <w:r w:rsidRPr="00812A7A">
              <w:rPr>
                <w:b/>
                <w:color w:val="000000" w:themeColor="text1"/>
                <w:sz w:val="16"/>
                <w:szCs w:val="16"/>
              </w:rPr>
              <w:t xml:space="preserve">Links to </w:t>
            </w:r>
            <w:r w:rsidR="0036710B">
              <w:rPr>
                <w:b/>
                <w:color w:val="000000" w:themeColor="text1"/>
                <w:sz w:val="16"/>
                <w:szCs w:val="16"/>
              </w:rPr>
              <w:t xml:space="preserve">the included </w:t>
            </w:r>
            <w:r w:rsidRPr="00812A7A">
              <w:rPr>
                <w:b/>
                <w:color w:val="000000" w:themeColor="text1"/>
                <w:sz w:val="16"/>
                <w:szCs w:val="16"/>
              </w:rPr>
              <w:t>assurance standards:</w:t>
            </w:r>
          </w:p>
          <w:p w14:paraId="6B5D59C6" w14:textId="77777777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33" w:history="1">
              <w:r w:rsidR="00B9272F" w:rsidRPr="00812A7A">
                <w:rPr>
                  <w:rStyle w:val="Hyperlink"/>
                  <w:sz w:val="16"/>
                  <w:szCs w:val="16"/>
                </w:rPr>
                <w:t>PAS 7341: 2020</w:t>
              </w:r>
            </w:hyperlink>
            <w:r w:rsidR="00B9272F" w:rsidRPr="00812A7A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7749FCEF" w14:textId="77777777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34" w:history="1">
              <w:r w:rsidR="00B9272F" w:rsidRPr="00812A7A">
                <w:rPr>
                  <w:rStyle w:val="Hyperlink"/>
                  <w:sz w:val="16"/>
                  <w:szCs w:val="16"/>
                </w:rPr>
                <w:t>ISAE 3000</w:t>
              </w:r>
            </w:hyperlink>
          </w:p>
          <w:p w14:paraId="6C794E57" w14:textId="77777777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35" w:history="1">
              <w:r w:rsidR="00B9272F" w:rsidRPr="00812A7A">
                <w:rPr>
                  <w:rStyle w:val="Hyperlink"/>
                  <w:sz w:val="16"/>
                  <w:szCs w:val="16"/>
                </w:rPr>
                <w:t>Dutch 3810N</w:t>
              </w:r>
            </w:hyperlink>
          </w:p>
          <w:p w14:paraId="04BF40A4" w14:textId="77777777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36" w:history="1">
              <w:r w:rsidR="00B9272F" w:rsidRPr="00812A7A">
                <w:rPr>
                  <w:rStyle w:val="Hyperlink"/>
                  <w:sz w:val="16"/>
                  <w:szCs w:val="16"/>
                </w:rPr>
                <w:t>RevR6</w:t>
              </w:r>
            </w:hyperlink>
          </w:p>
          <w:p w14:paraId="381F8FBF" w14:textId="77777777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37" w:history="1">
              <w:r w:rsidR="00B9272F" w:rsidRPr="00812A7A">
                <w:rPr>
                  <w:rStyle w:val="Hyperlink"/>
                  <w:sz w:val="16"/>
                  <w:szCs w:val="16"/>
                </w:rPr>
                <w:t>IDW AsS 821</w:t>
              </w:r>
            </w:hyperlink>
          </w:p>
          <w:p w14:paraId="2DDA66C2" w14:textId="174F9DFC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38" w:history="1">
              <w:r w:rsidR="00B9272F" w:rsidRPr="00812A7A">
                <w:rPr>
                  <w:rStyle w:val="Hyperlink"/>
                  <w:sz w:val="16"/>
                  <w:szCs w:val="16"/>
                </w:rPr>
                <w:t>AA1000AS</w:t>
              </w:r>
            </w:hyperlink>
            <w:r w:rsidR="003216EE" w:rsidRPr="00812A7A">
              <w:rPr>
                <w:color w:val="00B0F0"/>
                <w:sz w:val="16"/>
                <w:szCs w:val="16"/>
              </w:rPr>
              <w:t xml:space="preserve"> </w:t>
            </w:r>
            <w:r w:rsidR="003216EE" w:rsidRPr="00812A7A">
              <w:rPr>
                <w:color w:val="000000" w:themeColor="text1"/>
                <w:sz w:val="16"/>
                <w:szCs w:val="16"/>
              </w:rPr>
              <w:t xml:space="preserve">(see </w:t>
            </w:r>
            <w:r w:rsidR="00873E9C" w:rsidRPr="00812A7A">
              <w:rPr>
                <w:color w:val="000000" w:themeColor="text1"/>
                <w:sz w:val="16"/>
                <w:szCs w:val="16"/>
              </w:rPr>
              <w:t>also</w:t>
            </w:r>
            <w:r w:rsidR="0036710B">
              <w:rPr>
                <w:color w:val="000000" w:themeColor="text1"/>
                <w:sz w:val="16"/>
                <w:szCs w:val="16"/>
              </w:rPr>
              <w:t xml:space="preserve"> the </w:t>
            </w:r>
            <w:hyperlink r:id="rId39" w:history="1">
              <w:r w:rsidR="003216EE" w:rsidRPr="00812A7A">
                <w:rPr>
                  <w:rStyle w:val="Hyperlink"/>
                  <w:sz w:val="16"/>
                  <w:szCs w:val="16"/>
                </w:rPr>
                <w:t>UNGP Reporting Framework Assurance Guidance on Human Rights Performance and Reporting</w:t>
              </w:r>
            </w:hyperlink>
            <w:r w:rsidR="003216EE" w:rsidRPr="00812A7A">
              <w:rPr>
                <w:color w:val="00B0F0"/>
                <w:sz w:val="16"/>
                <w:szCs w:val="16"/>
              </w:rPr>
              <w:t xml:space="preserve"> </w:t>
            </w:r>
            <w:r w:rsidR="003216EE" w:rsidRPr="00F36160">
              <w:rPr>
                <w:sz w:val="16"/>
                <w:szCs w:val="16"/>
              </w:rPr>
              <w:t>for further guidance</w:t>
            </w:r>
            <w:r w:rsidR="003216EE" w:rsidRPr="00812A7A">
              <w:rPr>
                <w:color w:val="000000" w:themeColor="text1"/>
                <w:sz w:val="16"/>
                <w:szCs w:val="16"/>
              </w:rPr>
              <w:t>)</w:t>
            </w:r>
          </w:p>
          <w:p w14:paraId="2EA4E82F" w14:textId="77777777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40" w:history="1">
              <w:r w:rsidR="00B9272F" w:rsidRPr="00812A7A">
                <w:rPr>
                  <w:rStyle w:val="Hyperlink"/>
                  <w:sz w:val="16"/>
                  <w:szCs w:val="16"/>
                </w:rPr>
                <w:t>IFC Performance Standards</w:t>
              </w:r>
            </w:hyperlink>
            <w:r w:rsidR="00B9272F" w:rsidRPr="00812A7A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076C2666" w14:textId="77777777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41" w:history="1">
              <w:r w:rsidR="00B9272F" w:rsidRPr="00812A7A">
                <w:rPr>
                  <w:rStyle w:val="Hyperlink"/>
                  <w:sz w:val="16"/>
                  <w:szCs w:val="16"/>
                </w:rPr>
                <w:t>SOC 1</w:t>
              </w:r>
            </w:hyperlink>
          </w:p>
          <w:p w14:paraId="5B09C9EE" w14:textId="77777777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42" w:history="1">
              <w:r w:rsidR="00B9272F" w:rsidRPr="00812A7A">
                <w:rPr>
                  <w:rStyle w:val="Hyperlink"/>
                  <w:sz w:val="16"/>
                  <w:szCs w:val="16"/>
                </w:rPr>
                <w:t>Invest Europe</w:t>
              </w:r>
            </w:hyperlink>
            <w:r w:rsidR="00B9272F" w:rsidRPr="00812A7A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2194961D" w14:textId="77777777" w:rsidR="00B9272F" w:rsidRPr="00F36160" w:rsidRDefault="00000000" w:rsidP="00B9272F">
            <w:pPr>
              <w:rPr>
                <w:color w:val="000000" w:themeColor="text1"/>
                <w:sz w:val="16"/>
                <w:szCs w:val="16"/>
                <w:lang w:val="it-IT"/>
              </w:rPr>
            </w:pPr>
            <w:hyperlink r:id="rId43" w:history="1">
              <w:r w:rsidR="00B9272F" w:rsidRPr="00F36160">
                <w:rPr>
                  <w:rStyle w:val="Hyperlink"/>
                  <w:sz w:val="16"/>
                  <w:szCs w:val="16"/>
                  <w:lang w:val="it-IT"/>
                </w:rPr>
                <w:t>ISAE 3402</w:t>
              </w:r>
            </w:hyperlink>
            <w:r w:rsidR="00B9272F" w:rsidRPr="00F36160">
              <w:rPr>
                <w:color w:val="000000" w:themeColor="text1"/>
                <w:sz w:val="16"/>
                <w:szCs w:val="16"/>
                <w:lang w:val="it-IT"/>
              </w:rPr>
              <w:t xml:space="preserve"> </w:t>
            </w:r>
          </w:p>
          <w:p w14:paraId="5C4FAA87" w14:textId="77777777" w:rsidR="00B9272F" w:rsidRPr="00F36160" w:rsidRDefault="00000000" w:rsidP="00B9272F">
            <w:pPr>
              <w:rPr>
                <w:color w:val="000000" w:themeColor="text1"/>
                <w:sz w:val="16"/>
                <w:szCs w:val="16"/>
                <w:lang w:val="it-IT"/>
              </w:rPr>
            </w:pPr>
            <w:hyperlink r:id="rId44" w:history="1">
              <w:r w:rsidR="00B9272F" w:rsidRPr="00F36160">
                <w:rPr>
                  <w:rStyle w:val="Hyperlink"/>
                  <w:sz w:val="16"/>
                  <w:szCs w:val="16"/>
                  <w:lang w:val="it-IT"/>
                </w:rPr>
                <w:t>AAF 01/20</w:t>
              </w:r>
            </w:hyperlink>
          </w:p>
          <w:p w14:paraId="774DEEA2" w14:textId="77777777" w:rsidR="00B9272F" w:rsidRPr="00F36160" w:rsidRDefault="00000000" w:rsidP="00B9272F">
            <w:pPr>
              <w:rPr>
                <w:rStyle w:val="Hyperlink"/>
                <w:sz w:val="16"/>
                <w:szCs w:val="16"/>
                <w:lang w:val="it-IT"/>
              </w:rPr>
            </w:pPr>
            <w:hyperlink r:id="rId45" w:history="1">
              <w:r w:rsidR="00B9272F" w:rsidRPr="00F36160">
                <w:rPr>
                  <w:rStyle w:val="Hyperlink"/>
                  <w:sz w:val="16"/>
                  <w:szCs w:val="16"/>
                  <w:lang w:val="it-IT"/>
                </w:rPr>
                <w:t>ISO 26000</w:t>
              </w:r>
            </w:hyperlink>
          </w:p>
          <w:p w14:paraId="60FC5BF3" w14:textId="0862C709" w:rsidR="00C35D46" w:rsidRPr="00F36160" w:rsidRDefault="00000000" w:rsidP="00B9272F">
            <w:pPr>
              <w:rPr>
                <w:color w:val="00B0F0"/>
                <w:sz w:val="16"/>
                <w:szCs w:val="16"/>
                <w:lang w:val="it-IT"/>
              </w:rPr>
            </w:pPr>
            <w:hyperlink r:id="rId46" w:history="1">
              <w:r w:rsidR="00C35D46" w:rsidRPr="00F36160">
                <w:rPr>
                  <w:rStyle w:val="Hyperlink"/>
                  <w:sz w:val="16"/>
                  <w:szCs w:val="16"/>
                  <w:lang w:val="it-IT"/>
                </w:rPr>
                <w:t>ISO 14065:2020</w:t>
              </w:r>
            </w:hyperlink>
          </w:p>
          <w:p w14:paraId="03C8A4C8" w14:textId="77777777" w:rsidR="00B9272F" w:rsidRPr="00F36160" w:rsidRDefault="00000000" w:rsidP="00B9272F">
            <w:pPr>
              <w:rPr>
                <w:color w:val="000000" w:themeColor="text1"/>
                <w:sz w:val="16"/>
                <w:szCs w:val="16"/>
                <w:lang w:val="it-IT"/>
              </w:rPr>
            </w:pPr>
            <w:hyperlink r:id="rId47" w:history="1">
              <w:r w:rsidR="00B9272F" w:rsidRPr="00F36160">
                <w:rPr>
                  <w:rStyle w:val="Hyperlink"/>
                  <w:sz w:val="16"/>
                  <w:szCs w:val="16"/>
                  <w:lang w:val="it-IT"/>
                </w:rPr>
                <w:t>ASAE 3410</w:t>
              </w:r>
            </w:hyperlink>
            <w:r w:rsidR="00B9272F" w:rsidRPr="00F36160">
              <w:rPr>
                <w:color w:val="000000" w:themeColor="text1"/>
                <w:sz w:val="16"/>
                <w:szCs w:val="16"/>
                <w:lang w:val="it-IT"/>
              </w:rPr>
              <w:t xml:space="preserve"> </w:t>
            </w:r>
          </w:p>
          <w:p w14:paraId="43663DBC" w14:textId="77777777" w:rsidR="00B9272F" w:rsidRPr="00812A7A" w:rsidRDefault="00000000" w:rsidP="00B9272F">
            <w:pPr>
              <w:rPr>
                <w:color w:val="000000" w:themeColor="text1"/>
                <w:sz w:val="16"/>
                <w:szCs w:val="16"/>
              </w:rPr>
            </w:pPr>
            <w:hyperlink r:id="rId48" w:history="1">
              <w:r w:rsidR="00B9272F" w:rsidRPr="00812A7A">
                <w:rPr>
                  <w:rStyle w:val="Hyperlink"/>
                  <w:sz w:val="16"/>
                  <w:szCs w:val="16"/>
                </w:rPr>
                <w:t>PCAF</w:t>
              </w:r>
            </w:hyperlink>
            <w:r w:rsidR="00B9272F" w:rsidRPr="00812A7A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0E957494" w14:textId="1647B19B" w:rsidR="001412D9" w:rsidRPr="00812A7A" w:rsidRDefault="00000000" w:rsidP="00B9272F">
            <w:pPr>
              <w:rPr>
                <w:rStyle w:val="Hyperlink"/>
                <w:sz w:val="16"/>
                <w:szCs w:val="16"/>
              </w:rPr>
            </w:pPr>
            <w:hyperlink r:id="rId49" w:history="1">
              <w:r w:rsidR="00B9272F" w:rsidRPr="00812A7A">
                <w:rPr>
                  <w:rStyle w:val="Hyperlink"/>
                  <w:sz w:val="16"/>
                  <w:szCs w:val="16"/>
                </w:rPr>
                <w:t>NGER</w:t>
              </w:r>
            </w:hyperlink>
          </w:p>
          <w:p w14:paraId="5C65AB0D" w14:textId="5A3AEF53" w:rsidR="0072249E" w:rsidRPr="00812A7A" w:rsidRDefault="0072249E" w:rsidP="00B9272F">
            <w:pPr>
              <w:rPr>
                <w:rStyle w:val="Hyperlink"/>
                <w:sz w:val="16"/>
                <w:szCs w:val="16"/>
              </w:rPr>
            </w:pPr>
          </w:p>
          <w:p w14:paraId="4A24E259" w14:textId="4A1CBE1A" w:rsidR="001412D9" w:rsidRPr="00812A7A" w:rsidRDefault="001412D9" w:rsidP="00B9272F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The end result of the assurance process is a report containing a formal conclusion or opinion from the external assurer. This report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c</w:t>
            </w:r>
            <w:r w:rsidR="0036710B" w:rsidRPr="00F36160">
              <w:rPr>
                <w:rStyle w:val="Hyperlink"/>
                <w:color w:val="auto"/>
                <w:sz w:val="16"/>
                <w:szCs w:val="16"/>
              </w:rPr>
              <w:t>larifies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the scope, limitations and nature of the assurance performed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="0036710B">
              <w:rPr>
                <w:rStyle w:val="Hyperlink"/>
                <w:sz w:val="16"/>
                <w:szCs w:val="16"/>
              </w:rPr>
              <w:t xml:space="preserve"> </w:t>
            </w:r>
            <w:r w:rsidR="0036710B" w:rsidRPr="00F36160">
              <w:rPr>
                <w:rStyle w:val="Hyperlink"/>
                <w:color w:val="auto"/>
                <w:sz w:val="16"/>
                <w:szCs w:val="16"/>
              </w:rPr>
              <w:t>establishing</w:t>
            </w:r>
            <w:r w:rsidRPr="00F36160">
              <w:rPr>
                <w:rStyle w:val="Hyperlink"/>
                <w:color w:val="auto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the credibility of the information assured. Signatories can upload </w:t>
            </w:r>
            <w:r w:rsidR="0036710B" w:rsidRPr="00F36160">
              <w:rPr>
                <w:rStyle w:val="Hyperlink"/>
                <w:color w:val="auto"/>
                <w:sz w:val="16"/>
                <w:szCs w:val="16"/>
              </w:rPr>
              <w:t>this</w:t>
            </w:r>
            <w:r w:rsidRPr="00F36160">
              <w:rPr>
                <w:rStyle w:val="Hyperlink"/>
                <w:color w:val="auto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report </w:t>
            </w:r>
            <w:r w:rsidR="005B2301" w:rsidRPr="00812A7A">
              <w:rPr>
                <w:rStyle w:val="Hyperlink"/>
                <w:color w:val="000000" w:themeColor="text1"/>
                <w:sz w:val="16"/>
                <w:szCs w:val="16"/>
              </w:rPr>
              <w:t>in (3)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="005B2301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="005B2301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Third-party external assurance 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>provider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 </w:t>
            </w:r>
            <w:r w:rsidR="005B2301" w:rsidRPr="00812A7A">
              <w:rPr>
                <w:rStyle w:val="Hyperlink"/>
                <w:color w:val="000000" w:themeColor="text1"/>
                <w:sz w:val="16"/>
                <w:szCs w:val="16"/>
              </w:rPr>
              <w:t>report that contains the assurance conclusion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9015C6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as complementary to providing details in (1)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="009015C6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="009015C6" w:rsidRPr="00812A7A">
              <w:rPr>
                <w:rStyle w:val="Hyperlink"/>
                <w:color w:val="000000" w:themeColor="text1"/>
                <w:sz w:val="16"/>
                <w:szCs w:val="16"/>
              </w:rPr>
              <w:t>Description of the third-party external assurance process</w:t>
            </w:r>
            <w:r w:rsidR="0036710B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9015C6" w:rsidRPr="00812A7A">
              <w:rPr>
                <w:rStyle w:val="Hyperlink"/>
                <w:color w:val="000000" w:themeColor="text1"/>
                <w:sz w:val="16"/>
                <w:szCs w:val="16"/>
              </w:rPr>
              <w:t>.</w:t>
            </w:r>
          </w:p>
        </w:tc>
      </w:tr>
      <w:tr w:rsidR="001D40F9" w:rsidRPr="00812A7A" w14:paraId="1932EE7B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698E7433" w14:textId="77777777" w:rsidR="001D40F9" w:rsidRPr="00812A7A" w:rsidRDefault="001D40F9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lastRenderedPageBreak/>
              <w:t>Other resources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190CC01E" w14:textId="27540518" w:rsidR="001D40F9" w:rsidRPr="00812A7A" w:rsidRDefault="001D40F9" w:rsidP="001D40F9">
            <w:pPr>
              <w:rPr>
                <w:rStyle w:val="Hyperlink"/>
                <w:color w:val="000000" w:themeColor="text1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For further guidance on how to strengthen the confidence of responses to the PRI Reporting Framework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refer to </w:t>
            </w:r>
            <w:hyperlink r:id="rId50" w:history="1">
              <w:r w:rsidR="00FF5E05">
                <w:rPr>
                  <w:rStyle w:val="Hyperlink"/>
                  <w:sz w:val="16"/>
                  <w:szCs w:val="16"/>
                </w:rPr>
                <w:t>Introducing confidence-building measures to PRI signatories’ reported data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</w:t>
            </w:r>
          </w:p>
        </w:tc>
      </w:tr>
      <w:tr w:rsidR="001D40F9" w:rsidRPr="00812A7A" w14:paraId="03FF40C0" w14:textId="77777777" w:rsidTr="00DA1C58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55C50FE2" w14:textId="77777777" w:rsidR="001D40F9" w:rsidRPr="00812A7A" w:rsidRDefault="001D40F9" w:rsidP="00DA1C58">
            <w:pPr>
              <w:rPr>
                <w:color w:val="FFFFFF" w:themeColor="background1"/>
                <w:sz w:val="16"/>
                <w:szCs w:val="16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Logic</w:t>
            </w:r>
          </w:p>
        </w:tc>
      </w:tr>
      <w:tr w:rsidR="001D40F9" w:rsidRPr="00812A7A" w14:paraId="34178550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7263AB96" w14:textId="77777777" w:rsidR="001D40F9" w:rsidRPr="00812A7A" w:rsidRDefault="001D40F9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Dependent on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74BA8F47" w14:textId="5308F141" w:rsidR="001D40F9" w:rsidRPr="00812A7A" w:rsidRDefault="00CB6D6E" w:rsidP="00DA1C58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[CBM 1]</w:t>
            </w:r>
          </w:p>
        </w:tc>
      </w:tr>
      <w:tr w:rsidR="001D40F9" w:rsidRPr="00812A7A" w14:paraId="14B3E09F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056224E9" w14:textId="77777777" w:rsidR="001D40F9" w:rsidRPr="00812A7A" w:rsidRDefault="001D40F9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Gateway to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212E9FC4" w14:textId="0DC1B69A" w:rsidR="001D40F9" w:rsidRPr="00812A7A" w:rsidRDefault="00157F08" w:rsidP="00DA1C58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N/A</w:t>
            </w:r>
          </w:p>
        </w:tc>
      </w:tr>
      <w:tr w:rsidR="001D40F9" w:rsidRPr="00812A7A" w14:paraId="12C32C88" w14:textId="77777777" w:rsidTr="00DA1C58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53BCF300" w14:textId="77777777" w:rsidR="001D40F9" w:rsidRPr="00812A7A" w:rsidRDefault="001D40F9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Assessment</w:t>
            </w:r>
          </w:p>
        </w:tc>
      </w:tr>
      <w:tr w:rsidR="001D40F9" w:rsidRPr="00812A7A" w14:paraId="069997A1" w14:textId="77777777" w:rsidTr="00DA1C58">
        <w:trPr>
          <w:trHeight w:val="354"/>
        </w:trPr>
        <w:tc>
          <w:tcPr>
            <w:tcW w:w="14884" w:type="dxa"/>
            <w:gridSpan w:val="8"/>
            <w:shd w:val="clear" w:color="auto" w:fill="auto"/>
            <w:vAlign w:val="center"/>
          </w:tcPr>
          <w:p w14:paraId="6490159A" w14:textId="77777777" w:rsidR="001D40F9" w:rsidRPr="00812A7A" w:rsidRDefault="001D40F9" w:rsidP="00DA1C58">
            <w:pPr>
              <w:rPr>
                <w:bCs/>
                <w:sz w:val="16"/>
                <w:szCs w:val="16"/>
              </w:rPr>
            </w:pPr>
            <w:r w:rsidRPr="00812A7A">
              <w:rPr>
                <w:bCs/>
                <w:color w:val="000000" w:themeColor="text1"/>
                <w:sz w:val="16"/>
                <w:szCs w:val="16"/>
              </w:rPr>
              <w:t>Not assessed</w:t>
            </w:r>
          </w:p>
        </w:tc>
      </w:tr>
    </w:tbl>
    <w:p w14:paraId="2069FD84" w14:textId="75AFC6A3" w:rsidR="00C466FC" w:rsidRPr="00812A7A" w:rsidRDefault="00A66C2C" w:rsidP="0053200C">
      <w:pPr>
        <w:pStyle w:val="Heading2"/>
      </w:pPr>
      <w:bookmarkStart w:id="8" w:name="_Toc122332747"/>
      <w:r w:rsidRPr="00812A7A">
        <w:lastRenderedPageBreak/>
        <w:t>Internal audit [</w:t>
      </w:r>
      <w:r w:rsidR="00794D13" w:rsidRPr="00812A7A">
        <w:t>CBM 4</w:t>
      </w:r>
      <w:r w:rsidRPr="00812A7A">
        <w:t xml:space="preserve">, </w:t>
      </w:r>
      <w:r w:rsidR="00794D13" w:rsidRPr="00812A7A">
        <w:t>CBM 5</w:t>
      </w:r>
      <w:r w:rsidRPr="00812A7A">
        <w:t>]</w:t>
      </w:r>
      <w:bookmarkEnd w:id="8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2"/>
        <w:gridCol w:w="1558"/>
        <w:gridCol w:w="2833"/>
        <w:gridCol w:w="1209"/>
        <w:gridCol w:w="3465"/>
        <w:gridCol w:w="1984"/>
        <w:gridCol w:w="1984"/>
        <w:gridCol w:w="9"/>
      </w:tblGrid>
      <w:tr w:rsidR="00646DE6" w:rsidRPr="00812A7A" w14:paraId="2A31E8B3" w14:textId="77777777" w:rsidTr="00646DE6">
        <w:trPr>
          <w:gridAfter w:val="1"/>
          <w:wAfter w:w="9" w:type="dxa"/>
          <w:trHeight w:val="367"/>
        </w:trPr>
        <w:tc>
          <w:tcPr>
            <w:tcW w:w="1842" w:type="dxa"/>
            <w:vMerge w:val="restart"/>
            <w:shd w:val="clear" w:color="auto" w:fill="DFF5F9"/>
            <w:vAlign w:val="center"/>
            <w:hideMark/>
          </w:tcPr>
          <w:p w14:paraId="52D8CF9F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Indicator ID</w:t>
            </w:r>
          </w:p>
          <w:p w14:paraId="62A1DAFB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  <w:p w14:paraId="765AC651" w14:textId="6B02D5D4" w:rsidR="00646DE6" w:rsidRPr="00812A7A" w:rsidRDefault="00646DE6" w:rsidP="00DA1C58">
            <w:pPr>
              <w:pStyle w:val="Indicatorsubsection"/>
              <w:rPr>
                <w:sz w:val="18"/>
                <w:szCs w:val="18"/>
                <w:lang w:val="en-GB"/>
              </w:rPr>
            </w:pPr>
            <w:bookmarkStart w:id="9" w:name="_Toc122332748"/>
            <w:r w:rsidRPr="00812A7A">
              <w:rPr>
                <w:lang w:val="en-GB"/>
              </w:rPr>
              <w:t>CBM 4</w:t>
            </w:r>
            <w:bookmarkEnd w:id="9"/>
          </w:p>
        </w:tc>
        <w:tc>
          <w:tcPr>
            <w:tcW w:w="1558" w:type="dxa"/>
            <w:shd w:val="clear" w:color="auto" w:fill="DFF5F9"/>
            <w:vAlign w:val="center"/>
            <w:hideMark/>
          </w:tcPr>
          <w:p w14:paraId="13770A4A" w14:textId="77777777" w:rsidR="00646DE6" w:rsidRPr="00812A7A" w:rsidRDefault="00646DE6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 xml:space="preserve">Dependent on: </w:t>
            </w:r>
          </w:p>
        </w:tc>
        <w:tc>
          <w:tcPr>
            <w:tcW w:w="2833" w:type="dxa"/>
            <w:shd w:val="clear" w:color="auto" w:fill="DFF5F9"/>
            <w:vAlign w:val="center"/>
          </w:tcPr>
          <w:p w14:paraId="58D26BE8" w14:textId="1702049B" w:rsidR="00646DE6" w:rsidRPr="00812A7A" w:rsidRDefault="00646DE6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 xml:space="preserve">OO 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812A7A">
              <w:rPr>
                <w:b/>
                <w:bCs/>
                <w:sz w:val="22"/>
                <w:szCs w:val="22"/>
              </w:rPr>
              <w:t>, CBM 1</w:t>
            </w:r>
          </w:p>
        </w:tc>
        <w:tc>
          <w:tcPr>
            <w:tcW w:w="4674" w:type="dxa"/>
            <w:gridSpan w:val="2"/>
            <w:vMerge w:val="restart"/>
            <w:shd w:val="clear" w:color="auto" w:fill="DFF5F9"/>
            <w:vAlign w:val="center"/>
          </w:tcPr>
          <w:p w14:paraId="1B8297DF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Sub-section</w:t>
            </w:r>
            <w:r w:rsidRPr="00812A7A">
              <w:rPr>
                <w:rFonts w:eastAsia="Times New Roman" w:cs="Arial"/>
                <w:sz w:val="14"/>
                <w:szCs w:val="14"/>
                <w:lang w:eastAsia="en-GB"/>
              </w:rPr>
              <w:t> </w:t>
            </w:r>
          </w:p>
          <w:p w14:paraId="7C0911C3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02FB582F" w14:textId="45C1110B" w:rsidR="00646DE6" w:rsidRPr="00812A7A" w:rsidRDefault="00646DE6" w:rsidP="00DA1C58">
            <w:pPr>
              <w:jc w:val="center"/>
              <w:rPr>
                <w:sz w:val="18"/>
                <w:szCs w:val="18"/>
              </w:rPr>
            </w:pPr>
            <w:r w:rsidRPr="00812A7A">
              <w:rPr>
                <w:b/>
                <w:bCs/>
                <w:sz w:val="22"/>
                <w:szCs w:val="22"/>
              </w:rPr>
              <w:t>Internal audit</w:t>
            </w:r>
          </w:p>
        </w:tc>
        <w:tc>
          <w:tcPr>
            <w:tcW w:w="1984" w:type="dxa"/>
            <w:vMerge w:val="restart"/>
            <w:shd w:val="clear" w:color="auto" w:fill="DFF5F9"/>
            <w:vAlign w:val="center"/>
            <w:hideMark/>
          </w:tcPr>
          <w:p w14:paraId="7F72BDBD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  <w:t>PRI Principle</w:t>
            </w:r>
          </w:p>
          <w:p w14:paraId="6FE6047B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6646C729" w14:textId="6CF6E71F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22"/>
                <w:szCs w:val="22"/>
                <w:lang w:eastAsia="en-GB"/>
              </w:rPr>
              <w:t>6</w:t>
            </w:r>
            <w:r w:rsidRPr="00812A7A">
              <w:rPr>
                <w:rFonts w:eastAsia="Times New Roman" w:cs="Arial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84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4536010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  <w:t>Type of indicator</w:t>
            </w:r>
          </w:p>
          <w:p w14:paraId="4D991C6E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05E480E8" w14:textId="77777777" w:rsidR="00646DE6" w:rsidRPr="00812A7A" w:rsidRDefault="00646DE6" w:rsidP="00DA1C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CORE</w:t>
            </w:r>
          </w:p>
        </w:tc>
      </w:tr>
      <w:tr w:rsidR="00646DE6" w:rsidRPr="00812A7A" w14:paraId="3F2FAFDB" w14:textId="77777777" w:rsidTr="00646DE6">
        <w:trPr>
          <w:gridAfter w:val="1"/>
          <w:wAfter w:w="9" w:type="dxa"/>
          <w:trHeight w:val="367"/>
        </w:trPr>
        <w:tc>
          <w:tcPr>
            <w:tcW w:w="1842" w:type="dxa"/>
            <w:vMerge/>
            <w:shd w:val="clear" w:color="auto" w:fill="DFF5F9"/>
            <w:vAlign w:val="center"/>
          </w:tcPr>
          <w:p w14:paraId="57B8D924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8" w:type="dxa"/>
            <w:shd w:val="clear" w:color="auto" w:fill="DFF5F9"/>
            <w:vAlign w:val="center"/>
          </w:tcPr>
          <w:p w14:paraId="696F2A2B" w14:textId="77777777" w:rsidR="00646DE6" w:rsidRPr="00812A7A" w:rsidRDefault="00646DE6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Gateway to:</w:t>
            </w:r>
          </w:p>
        </w:tc>
        <w:tc>
          <w:tcPr>
            <w:tcW w:w="2833" w:type="dxa"/>
            <w:shd w:val="clear" w:color="auto" w:fill="DFF5F9"/>
            <w:vAlign w:val="center"/>
          </w:tcPr>
          <w:p w14:paraId="68B1A9A2" w14:textId="27DD196C" w:rsidR="00646DE6" w:rsidRPr="00812A7A" w:rsidRDefault="00646DE6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4" w:type="dxa"/>
            <w:gridSpan w:val="2"/>
            <w:vMerge/>
            <w:shd w:val="clear" w:color="auto" w:fill="DFF5F9"/>
            <w:vAlign w:val="center"/>
          </w:tcPr>
          <w:p w14:paraId="02C588EB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4" w:type="dxa"/>
            <w:vMerge/>
            <w:shd w:val="clear" w:color="auto" w:fill="DFF5F9"/>
            <w:vAlign w:val="center"/>
          </w:tcPr>
          <w:p w14:paraId="6F224369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4" w:type="dxa"/>
            <w:vMerge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080FB27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F67B46" w:rsidRPr="00812A7A" w14:paraId="2199592C" w14:textId="77777777" w:rsidTr="00DA1C58">
        <w:trPr>
          <w:trHeight w:val="567"/>
        </w:trPr>
        <w:tc>
          <w:tcPr>
            <w:tcW w:w="14884" w:type="dxa"/>
            <w:gridSpan w:val="8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37A303D" w14:textId="43777C62" w:rsidR="00597EE4" w:rsidRPr="00812A7A" w:rsidRDefault="00F67B46" w:rsidP="00F67B46">
            <w:pPr>
              <w:spacing w:line="276" w:lineRule="auto"/>
              <w:textAlignment w:val="baseline"/>
              <w:rPr>
                <w:rFonts w:eastAsia="Times New Roman" w:cs="Arial"/>
                <w:b/>
                <w:lang w:eastAsia="en-GB"/>
              </w:rPr>
            </w:pPr>
            <w:r w:rsidRPr="00812A7A">
              <w:rPr>
                <w:rFonts w:eastAsia="Times New Roman" w:cs="Arial"/>
                <w:b/>
                <w:lang w:eastAsia="en-GB"/>
              </w:rPr>
              <w:t>What responsible investment processes and/or data w</w:t>
            </w:r>
            <w:r w:rsidR="00B267F6" w:rsidRPr="00812A7A">
              <w:rPr>
                <w:rFonts w:eastAsia="Times New Roman" w:cs="Arial"/>
                <w:b/>
                <w:lang w:eastAsia="en-GB"/>
              </w:rPr>
              <w:t>ere</w:t>
            </w:r>
            <w:r w:rsidRPr="00812A7A">
              <w:rPr>
                <w:rFonts w:eastAsia="Times New Roman" w:cs="Arial"/>
                <w:b/>
                <w:lang w:eastAsia="en-GB"/>
              </w:rPr>
              <w:t xml:space="preserve"> audited </w:t>
            </w:r>
            <w:r w:rsidR="002116F7">
              <w:rPr>
                <w:rFonts w:eastAsia="Times New Roman" w:cs="Arial"/>
                <w:b/>
                <w:lang w:eastAsia="en-GB"/>
              </w:rPr>
              <w:t>through</w:t>
            </w:r>
            <w:r w:rsidR="002116F7" w:rsidRPr="00812A7A">
              <w:rPr>
                <w:rFonts w:eastAsia="Times New Roman" w:cs="Arial"/>
                <w:b/>
                <w:lang w:eastAsia="en-GB"/>
              </w:rPr>
              <w:t xml:space="preserve"> </w:t>
            </w:r>
            <w:r w:rsidR="00597EE4" w:rsidRPr="00812A7A">
              <w:rPr>
                <w:rFonts w:eastAsia="Times New Roman" w:cs="Arial"/>
                <w:b/>
                <w:lang w:eastAsia="en-GB"/>
              </w:rPr>
              <w:t xml:space="preserve">your </w:t>
            </w:r>
            <w:hyperlink r:id="rId51" w:history="1">
              <w:r w:rsidRPr="00812A7A">
                <w:rPr>
                  <w:rStyle w:val="Hyperlink"/>
                  <w:rFonts w:eastAsia="Times New Roman" w:cs="Arial"/>
                  <w:b/>
                  <w:lang w:eastAsia="en-GB"/>
                </w:rPr>
                <w:t>internal audit</w:t>
              </w:r>
            </w:hyperlink>
            <w:r w:rsidR="00597EE4" w:rsidRPr="00812A7A">
              <w:rPr>
                <w:rFonts w:eastAsia="Times New Roman" w:cs="Arial"/>
                <w:b/>
                <w:lang w:eastAsia="en-GB"/>
              </w:rPr>
              <w:t xml:space="preserve"> function</w:t>
            </w:r>
            <w:r w:rsidRPr="00812A7A">
              <w:rPr>
                <w:rFonts w:eastAsia="Times New Roman" w:cs="Arial"/>
                <w:b/>
                <w:lang w:eastAsia="en-GB"/>
              </w:rPr>
              <w:t>?</w:t>
            </w:r>
          </w:p>
        </w:tc>
      </w:tr>
      <w:tr w:rsidR="002E048F" w:rsidRPr="00812A7A" w14:paraId="292A4A63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1B23B9C" w14:textId="59EB9FC8" w:rsidR="002E048F" w:rsidRPr="00812A7A" w:rsidRDefault="002E048F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(A) </w:t>
            </w:r>
            <w:r w:rsidR="00AB6093">
              <w:t xml:space="preserve">Policy, </w:t>
            </w:r>
            <w:r w:rsidR="001E6DC3">
              <w:t>g</w:t>
            </w:r>
            <w:r w:rsidR="00AB6093">
              <w:t xml:space="preserve">overnance and </w:t>
            </w:r>
            <w:r w:rsidR="001E6DC3">
              <w:t>s</w:t>
            </w:r>
            <w:r w:rsidR="00AB6093">
              <w:t>trategy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6C02F8F3" w14:textId="4C8C1738" w:rsidR="002E048F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[Dropdown list]</w:t>
            </w:r>
          </w:p>
          <w:p w14:paraId="3563AA44" w14:textId="77777777" w:rsidR="00C73AED" w:rsidRPr="00812A7A" w:rsidRDefault="00C73AED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</w:p>
          <w:p w14:paraId="54929006" w14:textId="52740FF3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Pr="00812A7A">
              <w:rPr>
                <w:rFonts w:eastAsia="Times New Roman" w:cs="Arial"/>
                <w:lang w:eastAsia="en-GB"/>
              </w:rPr>
              <w:t>1)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284FC8" w:rsidRPr="00812A7A">
              <w:rPr>
                <w:rFonts w:eastAsia="Times New Roman" w:cs="Arial"/>
                <w:szCs w:val="16"/>
                <w:lang w:eastAsia="en-GB"/>
              </w:rPr>
              <w:t xml:space="preserve">Data internally audited </w:t>
            </w:r>
          </w:p>
          <w:p w14:paraId="15AC25D3" w14:textId="67DA7BBC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Pr="00812A7A">
              <w:rPr>
                <w:rFonts w:eastAsia="Times New Roman" w:cs="Arial"/>
                <w:lang w:eastAsia="en-GB"/>
              </w:rPr>
              <w:t>2)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284FC8" w:rsidRPr="00812A7A">
              <w:rPr>
                <w:rFonts w:eastAsia="Times New Roman" w:cs="Arial"/>
                <w:szCs w:val="16"/>
                <w:lang w:eastAsia="en-GB"/>
              </w:rPr>
              <w:t>Processes internally audited</w:t>
            </w:r>
            <w:r w:rsidR="00284FC8" w:rsidRPr="00812A7A" w:rsidDel="00284FC8">
              <w:rPr>
                <w:rFonts w:eastAsia="Times New Roman" w:cs="Arial"/>
                <w:szCs w:val="16"/>
                <w:lang w:eastAsia="en-GB"/>
              </w:rPr>
              <w:t xml:space="preserve"> </w:t>
            </w:r>
          </w:p>
          <w:p w14:paraId="2C03CF09" w14:textId="48ECB70C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Pr="00812A7A">
              <w:rPr>
                <w:rFonts w:eastAsia="Times New Roman" w:cs="Arial"/>
                <w:lang w:eastAsia="en-GB"/>
              </w:rPr>
              <w:t>3)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 xml:space="preserve"> Processes and data </w:t>
            </w:r>
            <w:r w:rsidR="00243E04" w:rsidRPr="00812A7A">
              <w:rPr>
                <w:rFonts w:eastAsia="Times New Roman" w:cs="Arial"/>
                <w:szCs w:val="16"/>
                <w:lang w:eastAsia="en-GB"/>
              </w:rPr>
              <w:t>internally audited</w:t>
            </w:r>
          </w:p>
        </w:tc>
      </w:tr>
      <w:tr w:rsidR="002E048F" w:rsidRPr="00812A7A" w14:paraId="53FAFC28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E3A66A1" w14:textId="06BEA091" w:rsidR="002E048F" w:rsidRPr="00812A7A" w:rsidRDefault="002E048F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>(B) Manager selection, appointment and monitoring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717FEED9" w14:textId="4DD415AE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2E048F" w:rsidRPr="00812A7A" w14:paraId="216EA076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0A3B199" w14:textId="15828E07" w:rsidR="002E048F" w:rsidRPr="00812A7A" w:rsidRDefault="00B65171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t>(</w:t>
            </w:r>
            <w:r w:rsidR="000C70A5">
              <w:t>C</w:t>
            </w:r>
            <w:r>
              <w:t>)</w:t>
            </w:r>
            <w:r w:rsidR="002E048F" w:rsidRPr="00812A7A">
              <w:t xml:space="preserve"> </w:t>
            </w:r>
            <w:hyperlink r:id="rId52" w:history="1">
              <w:r w:rsidR="002E048F" w:rsidRPr="00F36160">
                <w:rPr>
                  <w:rStyle w:val="Hyperlink"/>
                </w:rPr>
                <w:t>Listed equity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52E11EFD" w14:textId="351C7441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2E048F" w:rsidRPr="00812A7A" w14:paraId="246FB35C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3DB335" w14:textId="566AEA34" w:rsidR="002E048F" w:rsidRPr="00812A7A" w:rsidRDefault="002E048F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(D) </w:t>
            </w:r>
            <w:hyperlink r:id="rId53" w:history="1">
              <w:r w:rsidRPr="00F36160">
                <w:rPr>
                  <w:rStyle w:val="Hyperlink"/>
                </w:rPr>
                <w:t>Fixed income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5410D2B1" w14:textId="1FA4BE4D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2E048F" w:rsidRPr="00812A7A" w14:paraId="36A11F82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7DBC73" w14:textId="54FDF4D2" w:rsidR="002E048F" w:rsidRPr="00812A7A" w:rsidRDefault="002E048F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(E) </w:t>
            </w:r>
            <w:hyperlink r:id="rId54" w:history="1">
              <w:r w:rsidR="00B63008" w:rsidRPr="00F36160">
                <w:rPr>
                  <w:rStyle w:val="Hyperlink"/>
                </w:rPr>
                <w:t>Private equity</w:t>
              </w:r>
            </w:hyperlink>
            <w:r w:rsidR="00B63008" w:rsidRPr="00812A7A">
              <w:t xml:space="preserve"> 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61B34D16" w14:textId="0E255DE7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2E048F" w:rsidRPr="00812A7A" w14:paraId="5888465A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A70F96" w14:textId="1EEF3799" w:rsidR="002E048F" w:rsidRPr="00812A7A" w:rsidRDefault="002E048F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(F) </w:t>
            </w:r>
            <w:hyperlink r:id="rId55" w:history="1">
              <w:r w:rsidR="00C02D86" w:rsidRPr="00F36160">
                <w:rPr>
                  <w:rStyle w:val="Hyperlink"/>
                </w:rPr>
                <w:t>Real estate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060DBFEB" w14:textId="4A9016CC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2E048F" w:rsidRPr="00812A7A" w14:paraId="1589AA26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9B3F4A4" w14:textId="6E86D4A5" w:rsidR="002E048F" w:rsidRPr="00812A7A" w:rsidRDefault="002E048F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(G) </w:t>
            </w:r>
            <w:hyperlink r:id="rId56" w:history="1">
              <w:r w:rsidR="00C02D86" w:rsidRPr="00F36160">
                <w:rPr>
                  <w:rStyle w:val="Hyperlink"/>
                </w:rPr>
                <w:t>Infrastructure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27BCEAD5" w14:textId="14C76C93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2E048F" w:rsidRPr="00812A7A" w14:paraId="2B4924D4" w14:textId="77777777" w:rsidTr="00646DE6">
        <w:trPr>
          <w:trHeight w:val="465"/>
        </w:trPr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9E373E" w14:textId="0253A96C" w:rsidR="002E048F" w:rsidRPr="00812A7A" w:rsidRDefault="002E048F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lastRenderedPageBreak/>
              <w:t xml:space="preserve">(H) </w:t>
            </w:r>
            <w:hyperlink r:id="rId57" w:history="1">
              <w:r w:rsidRPr="00F36160">
                <w:rPr>
                  <w:rStyle w:val="Hyperlink"/>
                </w:rPr>
                <w:t>Hedge funds</w:t>
              </w:r>
            </w:hyperlink>
          </w:p>
        </w:tc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32BA2C7A" w14:textId="419CFC6C" w:rsidR="002E048F" w:rsidRPr="00812A7A" w:rsidRDefault="002E048F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F67B46" w:rsidRPr="00812A7A" w14:paraId="572F3C1E" w14:textId="77777777" w:rsidTr="002E048F">
        <w:trPr>
          <w:trHeight w:val="300"/>
        </w:trPr>
        <w:tc>
          <w:tcPr>
            <w:tcW w:w="1488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713D493A" w14:textId="77777777" w:rsidR="00F67B46" w:rsidRPr="00812A7A" w:rsidRDefault="00F67B46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F67B46" w:rsidRPr="00812A7A" w14:paraId="1AA8FB2E" w14:textId="77777777" w:rsidTr="002E048F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4A222317" w14:textId="77777777" w:rsidR="00F67B46" w:rsidRPr="00812A7A" w:rsidRDefault="00F67B46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Explanatory notes</w:t>
            </w:r>
          </w:p>
        </w:tc>
      </w:tr>
      <w:tr w:rsidR="00F67B46" w:rsidRPr="00812A7A" w14:paraId="7F49D5E1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5FB8D4AC" w14:textId="77777777" w:rsidR="00F67B46" w:rsidRPr="00812A7A" w:rsidRDefault="00F67B46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Purpose of indicator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0907B190" w14:textId="66250598" w:rsidR="00F67B46" w:rsidRPr="00812A7A" w:rsidRDefault="00F67B46" w:rsidP="00F67B4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The PRI aims to increase signatories</w:t>
            </w:r>
            <w:r w:rsidR="0060500F" w:rsidRPr="00812A7A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accountability as part of its 10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year </w:t>
            </w:r>
            <w:hyperlink r:id="rId58" w:history="1">
              <w:r w:rsidRPr="00812A7A">
                <w:rPr>
                  <w:rStyle w:val="Hyperlink"/>
                  <w:sz w:val="16"/>
                  <w:szCs w:val="16"/>
                </w:rPr>
                <w:t>Blueprint for Responsible Investment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 Undertaking confidence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building measures will enhance the credibility of </w:t>
            </w:r>
            <w:r w:rsidR="002116F7" w:rsidRPr="00F36160">
              <w:rPr>
                <w:rStyle w:val="Hyperlink"/>
                <w:color w:val="auto"/>
                <w:sz w:val="16"/>
                <w:szCs w:val="16"/>
              </w:rPr>
              <w:t xml:space="preserve">the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ESG disclosures </w:t>
            </w:r>
            <w:r w:rsidR="002116F7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signatories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made to the PRI in this submission, their reporting to clients or beneficiaries and elsewhere. Internal auditing establishes whether 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>signatories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FF5E05" w:rsidRPr="00812A7A">
              <w:rPr>
                <w:rStyle w:val="Hyperlink"/>
                <w:color w:val="000000" w:themeColor="text1"/>
                <w:sz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responsible investment</w:t>
            </w:r>
            <w:r w:rsidR="00B267F6" w:rsidRPr="00812A7A">
              <w:rPr>
                <w:rStyle w:val="Hyperlink"/>
                <w:color w:val="000000" w:themeColor="text1"/>
                <w:sz w:val="16"/>
                <w:szCs w:val="16"/>
              </w:rPr>
              <w:t>–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related internal control mechanisms are working as intended and is a necessary step toward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s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obtaining external assurance. </w:t>
            </w:r>
          </w:p>
          <w:p w14:paraId="0733976A" w14:textId="77777777" w:rsidR="00F67B46" w:rsidRPr="00812A7A" w:rsidRDefault="00F67B46" w:rsidP="00F67B4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50C3B6D4" w14:textId="4C386E5C" w:rsidR="00F67B46" w:rsidRPr="00812A7A" w:rsidRDefault="00F67B46" w:rsidP="00F67B4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This indicator aims to understand what internally audited information was included in 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>signatories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submission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s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to the PRI for this reporting year. It is considered </w:t>
            </w:r>
            <w:r w:rsidR="001E6DC3">
              <w:rPr>
                <w:rStyle w:val="Hyperlink"/>
                <w:color w:val="000000" w:themeColor="text1"/>
                <w:sz w:val="16"/>
                <w:szCs w:val="16"/>
              </w:rPr>
              <w:t xml:space="preserve">good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practice </w:t>
            </w:r>
            <w:r w:rsidR="002116F7" w:rsidRPr="00812A7A">
              <w:rPr>
                <w:rStyle w:val="Hyperlink"/>
                <w:color w:val="000000" w:themeColor="text1"/>
                <w:sz w:val="16"/>
                <w:szCs w:val="16"/>
              </w:rPr>
              <w:t>for all reported information</w:t>
            </w:r>
            <w:r w:rsidR="002116F7" w:rsidRPr="00812A7A" w:rsidDel="002116F7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>–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or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 xml:space="preserve"> all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processes and data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 xml:space="preserve"> –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to be internally audited.</w:t>
            </w:r>
          </w:p>
        </w:tc>
      </w:tr>
      <w:tr w:rsidR="00F67B46" w:rsidRPr="00812A7A" w14:paraId="283AA79A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4E9F0409" w14:textId="77777777" w:rsidR="00F67B46" w:rsidRPr="00812A7A" w:rsidRDefault="00F67B46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Additional reporting guidance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456AAB4E" w14:textId="2BEEAA67" w:rsidR="00F67B46" w:rsidRPr="00812A7A" w:rsidRDefault="00F67B46" w:rsidP="00DA1C58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Signatories should select the appropriate </w:t>
            </w:r>
            <w:r w:rsidR="00297234">
              <w:rPr>
                <w:rStyle w:val="Hyperlink"/>
                <w:color w:val="000000" w:themeColor="text1"/>
                <w:sz w:val="16"/>
                <w:szCs w:val="16"/>
              </w:rPr>
              <w:t xml:space="preserve">answer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options where internally audited information has been used in their submission</w:t>
            </w:r>
            <w:r w:rsidR="00567CC2" w:rsidRPr="00812A7A">
              <w:rPr>
                <w:rStyle w:val="Hyperlink"/>
                <w:color w:val="000000" w:themeColor="text1"/>
                <w:sz w:val="16"/>
                <w:szCs w:val="16"/>
              </w:rPr>
              <w:t>s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to </w:t>
            </w:r>
            <w:r w:rsidR="00C36EBD">
              <w:rPr>
                <w:rStyle w:val="Hyperlink"/>
                <w:color w:val="000000" w:themeColor="text1"/>
                <w:sz w:val="16"/>
                <w:szCs w:val="16"/>
              </w:rPr>
              <w:t xml:space="preserve">the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PRI for </w:t>
            </w:r>
            <w:r w:rsidRPr="00812A7A">
              <w:rPr>
                <w:rStyle w:val="Hyperlink"/>
                <w:bCs/>
                <w:color w:val="000000" w:themeColor="text1"/>
                <w:sz w:val="16"/>
                <w:szCs w:val="16"/>
              </w:rPr>
              <w:t>this reporting year.</w:t>
            </w:r>
          </w:p>
        </w:tc>
      </w:tr>
      <w:tr w:rsidR="00F67B46" w:rsidRPr="00812A7A" w14:paraId="3A521D39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6D3C97BC" w14:textId="77777777" w:rsidR="00F67B46" w:rsidRPr="00812A7A" w:rsidRDefault="00F67B46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Other resources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4895EA80" w14:textId="385FFC2C" w:rsidR="00F67B46" w:rsidRPr="00812A7A" w:rsidRDefault="00F67B46" w:rsidP="00F67B46">
            <w:pPr>
              <w:rPr>
                <w:rStyle w:val="Hyperlink"/>
                <w:color w:val="000000" w:themeColor="text1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For further guidance on how to strengthen the confidence of responses to the PRI Reporting Framework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refer to </w:t>
            </w:r>
            <w:hyperlink r:id="rId59" w:history="1">
              <w:r w:rsidR="00FF5E05">
                <w:rPr>
                  <w:rStyle w:val="Hyperlink"/>
                  <w:sz w:val="16"/>
                  <w:szCs w:val="16"/>
                </w:rPr>
                <w:t>Introducing confidence-building measures to PRI signatories’ reported data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</w:t>
            </w:r>
          </w:p>
        </w:tc>
      </w:tr>
      <w:tr w:rsidR="00F67B46" w:rsidRPr="00812A7A" w14:paraId="6BF9B1DC" w14:textId="77777777" w:rsidTr="002E048F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642EA195" w14:textId="77777777" w:rsidR="00F67B46" w:rsidRPr="00812A7A" w:rsidRDefault="00F67B46" w:rsidP="00DA1C58">
            <w:pPr>
              <w:rPr>
                <w:color w:val="FFFFFF" w:themeColor="background1"/>
                <w:sz w:val="16"/>
                <w:szCs w:val="16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Logic</w:t>
            </w:r>
          </w:p>
        </w:tc>
      </w:tr>
      <w:tr w:rsidR="00F67B46" w:rsidRPr="00812A7A" w14:paraId="3979E4D7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652931DE" w14:textId="77777777" w:rsidR="00F67B46" w:rsidRPr="00812A7A" w:rsidRDefault="00F67B46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Dependent on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786AEFAE" w14:textId="7E0BFB72" w:rsidR="00570D8C" w:rsidRPr="00812A7A" w:rsidRDefault="00E21A6D" w:rsidP="00157F08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[</w:t>
            </w:r>
            <w:r w:rsidR="003555ED" w:rsidRPr="00812A7A">
              <w:rPr>
                <w:color w:val="000000" w:themeColor="text1"/>
                <w:sz w:val="16"/>
                <w:szCs w:val="16"/>
              </w:rPr>
              <w:t xml:space="preserve">OO </w:t>
            </w:r>
            <w:r w:rsidR="00C36EBD">
              <w:rPr>
                <w:color w:val="000000" w:themeColor="text1"/>
                <w:sz w:val="16"/>
                <w:szCs w:val="16"/>
              </w:rPr>
              <w:t>21</w:t>
            </w:r>
            <w:r w:rsidRPr="00812A7A">
              <w:rPr>
                <w:color w:val="000000" w:themeColor="text1"/>
                <w:sz w:val="16"/>
                <w:szCs w:val="16"/>
              </w:rPr>
              <w:t>]</w:t>
            </w:r>
            <w:r w:rsidR="003555ED" w:rsidRPr="00812A7A">
              <w:rPr>
                <w:color w:val="000000" w:themeColor="text1"/>
                <w:sz w:val="16"/>
                <w:szCs w:val="16"/>
              </w:rPr>
              <w:t xml:space="preserve">, </w:t>
            </w:r>
            <w:r w:rsidRPr="00812A7A">
              <w:rPr>
                <w:color w:val="000000" w:themeColor="text1"/>
                <w:sz w:val="16"/>
                <w:szCs w:val="16"/>
              </w:rPr>
              <w:t>[CBM 1]</w:t>
            </w:r>
          </w:p>
        </w:tc>
      </w:tr>
      <w:tr w:rsidR="00F67B46" w:rsidRPr="00812A7A" w14:paraId="2A39CB32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144CE50C" w14:textId="77777777" w:rsidR="00F67B46" w:rsidRPr="00812A7A" w:rsidRDefault="00F67B46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Gateway to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64FBC823" w14:textId="15A38830" w:rsidR="00F67B46" w:rsidRPr="00812A7A" w:rsidRDefault="00157F08" w:rsidP="00DA1C58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N/A</w:t>
            </w:r>
          </w:p>
        </w:tc>
      </w:tr>
      <w:tr w:rsidR="00F67B46" w:rsidRPr="00812A7A" w14:paraId="3B564ED7" w14:textId="77777777" w:rsidTr="002E048F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063506E6" w14:textId="77777777" w:rsidR="00F67B46" w:rsidRPr="00812A7A" w:rsidRDefault="00F67B46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Assessment</w:t>
            </w:r>
          </w:p>
        </w:tc>
      </w:tr>
      <w:tr w:rsidR="00F67B46" w:rsidRPr="00812A7A" w14:paraId="75789D41" w14:textId="77777777" w:rsidTr="00646DE6">
        <w:trPr>
          <w:trHeight w:val="354"/>
        </w:trPr>
        <w:tc>
          <w:tcPr>
            <w:tcW w:w="1842" w:type="dxa"/>
            <w:shd w:val="clear" w:color="auto" w:fill="auto"/>
            <w:vAlign w:val="center"/>
          </w:tcPr>
          <w:p w14:paraId="791B6B2A" w14:textId="77777777" w:rsidR="00F67B46" w:rsidRPr="00812A7A" w:rsidRDefault="00F67B46" w:rsidP="00DA1C58">
            <w:pPr>
              <w:rPr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Assessment criteria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67A2910D" w14:textId="26ABC3CB" w:rsidR="00EB1696" w:rsidRPr="00812A7A" w:rsidRDefault="00EB1696" w:rsidP="00EB169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100 points for this indicator. 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 xml:space="preserve">The </w:t>
            </w:r>
            <w:r w:rsidR="003607E1">
              <w:rPr>
                <w:rStyle w:val="Hyperlink"/>
                <w:color w:val="000000" w:themeColor="text1"/>
                <w:sz w:val="16"/>
                <w:szCs w:val="16"/>
              </w:rPr>
              <w:t>final</w:t>
            </w:r>
            <w:r w:rsidR="002116F7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7D6AC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score </w:t>
            </w:r>
            <w:r w:rsidR="003607E1">
              <w:rPr>
                <w:rStyle w:val="Hyperlink"/>
                <w:color w:val="000000" w:themeColor="text1"/>
                <w:sz w:val="16"/>
                <w:szCs w:val="16"/>
              </w:rPr>
              <w:t>will</w:t>
            </w:r>
            <w:r w:rsidR="003607E1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="007D6AC5" w:rsidRPr="00812A7A">
              <w:rPr>
                <w:rStyle w:val="Hyperlink"/>
                <w:color w:val="000000" w:themeColor="text1"/>
                <w:sz w:val="16"/>
                <w:szCs w:val="16"/>
              </w:rPr>
              <w:t>be based on the mean of the lettered answer options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="002116F7">
              <w:rPr>
                <w:rStyle w:val="Hyperlink"/>
                <w:sz w:val="16"/>
                <w:szCs w:val="16"/>
              </w:rPr>
              <w:t xml:space="preserve"> </w:t>
            </w:r>
            <w:r w:rsidR="002116F7" w:rsidRPr="00F36160">
              <w:rPr>
                <w:rStyle w:val="Hyperlink"/>
                <w:color w:val="auto"/>
                <w:sz w:val="16"/>
                <w:szCs w:val="16"/>
              </w:rPr>
              <w:t>w</w:t>
            </w:r>
            <w:r w:rsidR="007D6AC5" w:rsidRPr="00812A7A">
              <w:rPr>
                <w:rStyle w:val="Hyperlink"/>
                <w:color w:val="000000" w:themeColor="text1"/>
                <w:sz w:val="16"/>
                <w:szCs w:val="16"/>
              </w:rPr>
              <w:t>ith answer option (A) accounting for 50% of the overall score.</w:t>
            </w:r>
          </w:p>
          <w:p w14:paraId="62A37F8E" w14:textId="77777777" w:rsidR="00EB1696" w:rsidRPr="00812A7A" w:rsidRDefault="00EB1696" w:rsidP="00EB169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356150A4" w14:textId="77777777" w:rsidR="00EB1696" w:rsidRPr="00812A7A" w:rsidRDefault="00EB1696" w:rsidP="00EB169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100 points for (3).</w:t>
            </w:r>
          </w:p>
          <w:p w14:paraId="715F6630" w14:textId="77777777" w:rsidR="00EB1696" w:rsidRPr="00812A7A" w:rsidRDefault="00EB1696" w:rsidP="00EB169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66 points for (2).</w:t>
            </w:r>
          </w:p>
          <w:p w14:paraId="2BEB1B07" w14:textId="5B70FFB8" w:rsidR="00F67B46" w:rsidRPr="00812A7A" w:rsidRDefault="00EB1696" w:rsidP="00F67B46">
            <w:pPr>
              <w:rPr>
                <w:rStyle w:val="Hyperlink"/>
                <w:color w:val="000000" w:themeColor="text1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33 points for (1).</w:t>
            </w:r>
          </w:p>
        </w:tc>
      </w:tr>
      <w:tr w:rsidR="00F67B46" w:rsidRPr="00812A7A" w14:paraId="3BCCAD15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4FCBECE3" w14:textId="77777777" w:rsidR="00F67B46" w:rsidRPr="00AB6093" w:rsidDel="002635ED" w:rsidRDefault="00F67B46" w:rsidP="00DA1C5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AB6093">
              <w:rPr>
                <w:b/>
                <w:sz w:val="16"/>
                <w:szCs w:val="16"/>
              </w:rPr>
              <w:t>Multiplier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5D4BB0DB" w14:textId="35AF63C7" w:rsidR="00F67B46" w:rsidRPr="00AB6093" w:rsidRDefault="00F53272" w:rsidP="00DA1C58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color w:val="000000" w:themeColor="text1"/>
                <w:sz w:val="16"/>
                <w:szCs w:val="16"/>
              </w:rPr>
              <w:t>High</w:t>
            </w:r>
          </w:p>
        </w:tc>
      </w:tr>
    </w:tbl>
    <w:p w14:paraId="05594F6A" w14:textId="77777777" w:rsidR="00FA13D4" w:rsidRPr="00812A7A" w:rsidRDefault="00FA13D4">
      <w:pPr>
        <w:spacing w:after="160" w:line="259" w:lineRule="auto"/>
      </w:pPr>
    </w:p>
    <w:p w14:paraId="553DC619" w14:textId="43614322" w:rsidR="00DA1C58" w:rsidRPr="00812A7A" w:rsidRDefault="00DA1C58">
      <w:pPr>
        <w:spacing w:after="160" w:line="259" w:lineRule="auto"/>
      </w:pPr>
      <w:r w:rsidRPr="00812A7A">
        <w:br w:type="page"/>
      </w: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9"/>
        <w:gridCol w:w="2835"/>
        <w:gridCol w:w="4678"/>
        <w:gridCol w:w="1985"/>
        <w:gridCol w:w="1986"/>
      </w:tblGrid>
      <w:tr w:rsidR="002B3E49" w:rsidRPr="00812A7A" w14:paraId="4B17C968" w14:textId="77777777" w:rsidTr="00DA1C58">
        <w:trPr>
          <w:trHeight w:val="380"/>
        </w:trPr>
        <w:tc>
          <w:tcPr>
            <w:tcW w:w="184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3DE5850D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lastRenderedPageBreak/>
              <w:t>Indicator ID</w:t>
            </w:r>
          </w:p>
          <w:p w14:paraId="292E17A5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0"/>
                <w:szCs w:val="10"/>
                <w:lang w:eastAsia="en-GB"/>
              </w:rPr>
            </w:pPr>
          </w:p>
          <w:p w14:paraId="684DD933" w14:textId="190F20FE" w:rsidR="00DA1C58" w:rsidRPr="00812A7A" w:rsidRDefault="00E21A6D" w:rsidP="00DA1C58">
            <w:pPr>
              <w:pStyle w:val="Indicatorsubsection"/>
              <w:rPr>
                <w:lang w:val="en-GB"/>
              </w:rPr>
            </w:pPr>
            <w:bookmarkStart w:id="10" w:name="_Toc122332749"/>
            <w:r w:rsidRPr="00812A7A">
              <w:rPr>
                <w:lang w:val="en-GB"/>
              </w:rPr>
              <w:t>CBM 5</w:t>
            </w:r>
            <w:bookmarkEnd w:id="10"/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0D926594" w14:textId="77777777" w:rsidR="00DA1C58" w:rsidRPr="00812A7A" w:rsidRDefault="00DA1C58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 xml:space="preserve">Dependent on: 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44F8F65" w14:textId="7471805E" w:rsidR="00DA1C58" w:rsidRPr="00812A7A" w:rsidRDefault="00E21A6D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>CBM 1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vAlign w:val="center"/>
          </w:tcPr>
          <w:p w14:paraId="3B3CEB1C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Sub-section</w:t>
            </w:r>
            <w:r w:rsidRPr="00812A7A">
              <w:rPr>
                <w:rFonts w:eastAsia="Times New Roman" w:cs="Arial"/>
                <w:sz w:val="14"/>
                <w:szCs w:val="14"/>
                <w:lang w:eastAsia="en-GB"/>
              </w:rPr>
              <w:t> </w:t>
            </w:r>
          </w:p>
          <w:p w14:paraId="2B146DB6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49C19F1B" w14:textId="5571DBCE" w:rsidR="00DA1C58" w:rsidRPr="00812A7A" w:rsidRDefault="00C81F71" w:rsidP="00DA1C58">
            <w:pPr>
              <w:jc w:val="center"/>
              <w:rPr>
                <w:sz w:val="18"/>
                <w:szCs w:val="18"/>
              </w:rPr>
            </w:pPr>
            <w:r w:rsidRPr="00812A7A">
              <w:rPr>
                <w:b/>
                <w:bCs/>
                <w:sz w:val="22"/>
                <w:szCs w:val="22"/>
              </w:rPr>
              <w:t>Internal audit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2401AD4C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  <w:t>PRI Principle</w:t>
            </w:r>
          </w:p>
          <w:p w14:paraId="6F61F1F5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1B8C2A6F" w14:textId="61E0E41F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22"/>
                <w:szCs w:val="22"/>
                <w:lang w:eastAsia="en-GB"/>
              </w:rPr>
              <w:t>6</w:t>
            </w:r>
            <w:r w:rsidRPr="00812A7A">
              <w:rPr>
                <w:rFonts w:eastAsia="Times New Roman" w:cs="Arial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86" w:type="dxa"/>
            <w:vMerge w:val="restart"/>
            <w:shd w:val="clear" w:color="auto" w:fill="A6A6A6" w:themeFill="background1" w:themeFillShade="A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B44A37D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  <w:t>Type of indicator</w:t>
            </w:r>
          </w:p>
          <w:p w14:paraId="4340D0F8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289D9CED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 w:rsidRPr="00812A7A">
              <w:rPr>
                <w:rFonts w:eastAsia="Times New Roman" w:cs="Arial"/>
                <w:b/>
                <w:color w:val="FFFFFF" w:themeColor="background1"/>
                <w:sz w:val="32"/>
                <w:szCs w:val="32"/>
                <w:lang w:eastAsia="en-GB"/>
              </w:rPr>
              <w:t>PLUS</w:t>
            </w:r>
          </w:p>
          <w:p w14:paraId="4199F9FA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color w:val="FFFFFF" w:themeColor="background1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0"/>
                <w:szCs w:val="10"/>
                <w:lang w:eastAsia="en-GB"/>
              </w:rPr>
              <w:t>VOLUNTARY TO DISCLOSE</w:t>
            </w:r>
          </w:p>
        </w:tc>
      </w:tr>
      <w:tr w:rsidR="002B3E49" w:rsidRPr="00812A7A" w14:paraId="6772516C" w14:textId="77777777" w:rsidTr="00B031AB">
        <w:trPr>
          <w:trHeight w:val="380"/>
        </w:trPr>
        <w:tc>
          <w:tcPr>
            <w:tcW w:w="1841" w:type="dxa"/>
            <w:vMerge/>
            <w:shd w:val="clear" w:color="auto" w:fill="F2F2F2" w:themeFill="background1" w:themeFillShade="F2"/>
            <w:vAlign w:val="center"/>
          </w:tcPr>
          <w:p w14:paraId="6A966F99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844321A" w14:textId="77777777" w:rsidR="00DA1C58" w:rsidRPr="00812A7A" w:rsidRDefault="00DA1C58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Gateway to: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B42CA0A" w14:textId="25741741" w:rsidR="00DA1C58" w:rsidRPr="00812A7A" w:rsidRDefault="009C1376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8" w:type="dxa"/>
            <w:vMerge/>
            <w:shd w:val="clear" w:color="auto" w:fill="F2F2F2" w:themeFill="background1" w:themeFillShade="F2"/>
            <w:vAlign w:val="center"/>
          </w:tcPr>
          <w:p w14:paraId="2C4DBD1F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3D5D1FC9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6" w:type="dxa"/>
            <w:vMerge/>
            <w:shd w:val="clear" w:color="auto" w:fill="A6A6A6" w:themeFill="background1" w:themeFillShade="A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8992D79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DA1C58" w:rsidRPr="00812A7A" w14:paraId="55071FF7" w14:textId="77777777" w:rsidTr="00DA1C58">
        <w:trPr>
          <w:trHeight w:val="567"/>
        </w:trPr>
        <w:tc>
          <w:tcPr>
            <w:tcW w:w="14884" w:type="dxa"/>
            <w:gridSpan w:val="6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7AA8D9A" w14:textId="27A88100" w:rsidR="00DA1C58" w:rsidRPr="00812A7A" w:rsidRDefault="009C0757" w:rsidP="009C0757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 w:rsidRPr="00812A7A">
              <w:rPr>
                <w:rFonts w:eastAsia="Times New Roman" w:cs="Arial"/>
                <w:b/>
                <w:lang w:eastAsia="en-GB"/>
              </w:rPr>
              <w:t xml:space="preserve">Provide details </w:t>
            </w:r>
            <w:r w:rsidR="00721585" w:rsidRPr="00812A7A">
              <w:rPr>
                <w:rFonts w:eastAsia="Times New Roman" w:cs="Arial"/>
                <w:b/>
                <w:lang w:eastAsia="en-GB"/>
              </w:rPr>
              <w:t xml:space="preserve">of </w:t>
            </w:r>
            <w:r w:rsidRPr="00812A7A">
              <w:rPr>
                <w:rFonts w:eastAsia="Times New Roman" w:cs="Arial"/>
                <w:b/>
                <w:lang w:eastAsia="en-GB"/>
              </w:rPr>
              <w:t xml:space="preserve">the </w:t>
            </w:r>
            <w:hyperlink r:id="rId60" w:history="1">
              <w:r w:rsidRPr="00812A7A">
                <w:rPr>
                  <w:rStyle w:val="Hyperlink"/>
                  <w:rFonts w:eastAsia="Times New Roman" w:cs="Arial"/>
                  <w:b/>
                  <w:lang w:eastAsia="en-GB"/>
                </w:rPr>
                <w:t>internal audit</w:t>
              </w:r>
            </w:hyperlink>
            <w:r w:rsidRPr="00812A7A">
              <w:rPr>
                <w:rFonts w:eastAsia="Times New Roman" w:cs="Arial"/>
                <w:b/>
                <w:lang w:eastAsia="en-GB"/>
              </w:rPr>
              <w:t xml:space="preserve"> process regarding the information </w:t>
            </w:r>
            <w:r w:rsidR="00897612" w:rsidRPr="00812A7A">
              <w:rPr>
                <w:rFonts w:eastAsia="Times New Roman" w:cs="Arial"/>
                <w:b/>
                <w:lang w:eastAsia="en-GB"/>
              </w:rPr>
              <w:t>submitted</w:t>
            </w:r>
            <w:r w:rsidRPr="00812A7A">
              <w:rPr>
                <w:rFonts w:eastAsia="Times New Roman" w:cs="Arial"/>
                <w:b/>
                <w:lang w:eastAsia="en-GB"/>
              </w:rPr>
              <w:t xml:space="preserve"> in your PRI </w:t>
            </w:r>
            <w:r w:rsidR="007913CC" w:rsidRPr="00812A7A">
              <w:rPr>
                <w:rFonts w:eastAsia="Times New Roman" w:cs="Arial"/>
                <w:b/>
                <w:lang w:eastAsia="en-GB"/>
              </w:rPr>
              <w:t>report</w:t>
            </w:r>
            <w:r w:rsidRPr="00812A7A">
              <w:rPr>
                <w:rFonts w:eastAsia="Times New Roman" w:cs="Arial"/>
                <w:b/>
                <w:lang w:eastAsia="en-GB"/>
              </w:rPr>
              <w:t>.</w:t>
            </w:r>
          </w:p>
        </w:tc>
      </w:tr>
      <w:tr w:rsidR="00DA1C58" w:rsidRPr="00812A7A" w14:paraId="0A03C1A5" w14:textId="77777777" w:rsidTr="00DA1C58">
        <w:trPr>
          <w:trHeight w:val="465"/>
        </w:trPr>
        <w:tc>
          <w:tcPr>
            <w:tcW w:w="14884" w:type="dxa"/>
            <w:gridSpan w:val="6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D622A77" w14:textId="0AD080E2" w:rsidR="00DA1C58" w:rsidRPr="00812A7A" w:rsidRDefault="00036872" w:rsidP="00DA1C58">
            <w:pPr>
              <w:spacing w:line="276" w:lineRule="auto"/>
              <w:textAlignment w:val="baseline"/>
              <w:rPr>
                <w:rFonts w:eastAsia="Times New Roman" w:cs="Arial"/>
                <w:sz w:val="16"/>
                <w:szCs w:val="16"/>
                <w:lang w:eastAsia="en-GB"/>
              </w:rPr>
            </w:pPr>
            <w:r w:rsidRPr="00812A7A">
              <w:rPr>
                <w:rFonts w:cs="Arial"/>
                <w:color w:val="000000"/>
                <w:shd w:val="clear" w:color="auto" w:fill="FFFFFF"/>
              </w:rPr>
              <w:t>[Free text: medium]</w:t>
            </w:r>
          </w:p>
        </w:tc>
      </w:tr>
      <w:tr w:rsidR="00DA1C58" w:rsidRPr="00812A7A" w14:paraId="26394938" w14:textId="77777777" w:rsidTr="00DA1C58">
        <w:trPr>
          <w:trHeight w:val="300"/>
        </w:trPr>
        <w:tc>
          <w:tcPr>
            <w:tcW w:w="14884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4D288313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DA1C58" w:rsidRPr="00812A7A" w14:paraId="5B15D3D1" w14:textId="77777777" w:rsidTr="00DA1C58">
        <w:trPr>
          <w:trHeight w:val="300"/>
        </w:trPr>
        <w:tc>
          <w:tcPr>
            <w:tcW w:w="14884" w:type="dxa"/>
            <w:gridSpan w:val="6"/>
            <w:shd w:val="clear" w:color="auto" w:fill="0070C0"/>
            <w:vAlign w:val="center"/>
          </w:tcPr>
          <w:p w14:paraId="7EBAB099" w14:textId="77777777" w:rsidR="00DA1C58" w:rsidRPr="00812A7A" w:rsidRDefault="00DA1C58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Explanatory notes</w:t>
            </w:r>
          </w:p>
        </w:tc>
      </w:tr>
      <w:tr w:rsidR="00DA1C58" w:rsidRPr="00812A7A" w14:paraId="1171C17E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6F6BEB0A" w14:textId="77777777" w:rsidR="00DA1C58" w:rsidRPr="00812A7A" w:rsidRDefault="00DA1C58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Purpose of indicator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10C9CA79" w14:textId="2A9A9A45" w:rsidR="009C0757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The PRI aims to </w:t>
            </w:r>
            <w:r w:rsidR="00CC2FB7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increase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signator</w:t>
            </w:r>
            <w:r w:rsidR="00D550C3" w:rsidRPr="00812A7A">
              <w:rPr>
                <w:rStyle w:val="Hyperlink"/>
                <w:color w:val="000000" w:themeColor="text1"/>
                <w:sz w:val="16"/>
                <w:szCs w:val="16"/>
              </w:rPr>
              <w:t>ies’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accountability as part of its 10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year </w:t>
            </w:r>
            <w:hyperlink r:id="rId61" w:history="1">
              <w:r w:rsidRPr="00812A7A">
                <w:rPr>
                  <w:rStyle w:val="Hyperlink"/>
                  <w:sz w:val="16"/>
                  <w:szCs w:val="16"/>
                </w:rPr>
                <w:t>Blueprint for Responsible Investment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 Undertaking confidence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building measures will enhance the credibility of 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 xml:space="preserve">the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ESG disclosures </w:t>
            </w:r>
            <w:r w:rsidR="002116F7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signatories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made to the PRI in this submission, their reporting to clients or beneficiaries and elsewhere. Internal auditing establishes whether 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>signatories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responsible investment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–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related internal control mechanisms are working as intended and is a necessary step toward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s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obtaining </w:t>
            </w:r>
            <w:r w:rsidR="00AA1C0B" w:rsidRPr="00812A7A">
              <w:rPr>
                <w:rStyle w:val="Hyperlink"/>
                <w:color w:val="000000" w:themeColor="text1"/>
                <w:sz w:val="16"/>
                <w:szCs w:val="16"/>
              </w:rPr>
              <w:t>third-party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external assurance. </w:t>
            </w:r>
          </w:p>
          <w:p w14:paraId="286932B7" w14:textId="77777777" w:rsidR="009C0757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1A24D0FA" w14:textId="1631FD33" w:rsidR="00DA1C58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This indicator gives signatories the opportunity to describe their internal auditing process</w:t>
            </w:r>
            <w:r w:rsidR="00D878FB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and specify what information was audited.</w:t>
            </w:r>
          </w:p>
        </w:tc>
      </w:tr>
      <w:tr w:rsidR="00DA1C58" w:rsidRPr="00812A7A" w14:paraId="6033528C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5418BADD" w14:textId="77777777" w:rsidR="00DA1C58" w:rsidRPr="00812A7A" w:rsidRDefault="00DA1C58" w:rsidP="00DA1C58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Additional reporting guidance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1F684AAD" w14:textId="081D113A" w:rsidR="009C0757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In response to this indicator, signatories may want to describe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 xml:space="preserve"> the following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:</w:t>
            </w:r>
          </w:p>
          <w:p w14:paraId="7F05A10A" w14:textId="0B2ED347" w:rsidR="009C0757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i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) the date of completion of the </w:t>
            </w:r>
            <w:r w:rsidR="006F3F40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internal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audit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</w:p>
          <w:p w14:paraId="160006CE" w14:textId="55DD29BD" w:rsidR="009C0757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ii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) the scope and limitations of the internal audit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</w:p>
          <w:p w14:paraId="1A11BE37" w14:textId="628F1EBE" w:rsidR="009C0757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iii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) the degree of freedom that the internal auditors had to determine the scope and limitations of the audit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</w:p>
          <w:p w14:paraId="35BB125B" w14:textId="21266F30" w:rsidR="009C0757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iv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) what duties the </w:t>
            </w:r>
            <w:r w:rsidR="005C7303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internal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auditors performed, such as verifying data, interviewing staff members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or testing internal controls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</w:p>
          <w:p w14:paraId="64BC06BF" w14:textId="5E2A8E79" w:rsidR="009C0757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v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) what standards 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 xml:space="preserve">were used to perform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the audit, if any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and/or</w:t>
            </w:r>
          </w:p>
          <w:p w14:paraId="53C5A40C" w14:textId="5CE23A47" w:rsidR="00DA1C58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(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vi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) 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>the party(ies) responsible for the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internal audit team.</w:t>
            </w:r>
          </w:p>
        </w:tc>
      </w:tr>
      <w:tr w:rsidR="00DA1C58" w:rsidRPr="00812A7A" w14:paraId="4890087F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2BF2BE2B" w14:textId="77777777" w:rsidR="00DA1C58" w:rsidRPr="00812A7A" w:rsidRDefault="00DA1C58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Other resources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1A765463" w14:textId="0BF99124" w:rsidR="00DA1C58" w:rsidRPr="00812A7A" w:rsidRDefault="009C0757" w:rsidP="009C0757">
            <w:pPr>
              <w:rPr>
                <w:rStyle w:val="Hyperlink"/>
                <w:color w:val="000000" w:themeColor="text1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For further guidance on how to strengthen the confidence of responses to the PRI Reporting Framework</w:t>
            </w:r>
            <w:r w:rsidR="00F16D97" w:rsidRPr="00812A7A"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refer to </w:t>
            </w:r>
            <w:hyperlink r:id="rId62" w:history="1">
              <w:r w:rsidR="00FF5E05">
                <w:rPr>
                  <w:rStyle w:val="Hyperlink"/>
                  <w:sz w:val="16"/>
                  <w:szCs w:val="16"/>
                </w:rPr>
                <w:t>Introducing confidence-building measures to PRI signatories’ reported data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</w:t>
            </w:r>
          </w:p>
        </w:tc>
      </w:tr>
      <w:tr w:rsidR="00DA1C58" w:rsidRPr="00812A7A" w14:paraId="7E0DE288" w14:textId="77777777" w:rsidTr="00DA1C58">
        <w:trPr>
          <w:trHeight w:val="300"/>
        </w:trPr>
        <w:tc>
          <w:tcPr>
            <w:tcW w:w="14884" w:type="dxa"/>
            <w:gridSpan w:val="6"/>
            <w:shd w:val="clear" w:color="auto" w:fill="0070C0"/>
            <w:vAlign w:val="center"/>
          </w:tcPr>
          <w:p w14:paraId="1C8038C0" w14:textId="77777777" w:rsidR="00DA1C58" w:rsidRPr="00812A7A" w:rsidRDefault="00DA1C58" w:rsidP="00DA1C58">
            <w:pPr>
              <w:rPr>
                <w:color w:val="FFFFFF" w:themeColor="background1"/>
                <w:sz w:val="16"/>
                <w:szCs w:val="16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Logic</w:t>
            </w:r>
          </w:p>
        </w:tc>
      </w:tr>
      <w:tr w:rsidR="00DA1C58" w:rsidRPr="00812A7A" w14:paraId="3C94E085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75B871DD" w14:textId="77777777" w:rsidR="00DA1C58" w:rsidRPr="00812A7A" w:rsidRDefault="00DA1C58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Dependent on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3FF5323B" w14:textId="1628554D" w:rsidR="00DA1C58" w:rsidRPr="00812A7A" w:rsidRDefault="00E21A6D" w:rsidP="00DA1C58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[CBM 1]</w:t>
            </w:r>
          </w:p>
        </w:tc>
      </w:tr>
      <w:tr w:rsidR="00DA1C58" w:rsidRPr="00812A7A" w14:paraId="39F42229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676150D" w14:textId="77777777" w:rsidR="00DA1C58" w:rsidRPr="00812A7A" w:rsidRDefault="00DA1C58" w:rsidP="00DA1C58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Gateway to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6B12592E" w14:textId="4A79C5A5" w:rsidR="00DA1C58" w:rsidRPr="00812A7A" w:rsidRDefault="009C1376" w:rsidP="00DA1C58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N/A</w:t>
            </w:r>
          </w:p>
        </w:tc>
      </w:tr>
      <w:tr w:rsidR="00DA1C58" w:rsidRPr="00812A7A" w14:paraId="5FC26800" w14:textId="77777777" w:rsidTr="00DA1C58">
        <w:trPr>
          <w:trHeight w:val="300"/>
        </w:trPr>
        <w:tc>
          <w:tcPr>
            <w:tcW w:w="14884" w:type="dxa"/>
            <w:gridSpan w:val="6"/>
            <w:shd w:val="clear" w:color="auto" w:fill="0070C0"/>
            <w:vAlign w:val="center"/>
          </w:tcPr>
          <w:p w14:paraId="65CF60D3" w14:textId="77777777" w:rsidR="00DA1C58" w:rsidRPr="00812A7A" w:rsidRDefault="00DA1C58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Assessment</w:t>
            </w:r>
          </w:p>
        </w:tc>
      </w:tr>
      <w:tr w:rsidR="00DA1C58" w:rsidRPr="00812A7A" w14:paraId="27B2AD2C" w14:textId="77777777" w:rsidTr="00DA1C58">
        <w:trPr>
          <w:trHeight w:val="354"/>
        </w:trPr>
        <w:tc>
          <w:tcPr>
            <w:tcW w:w="14884" w:type="dxa"/>
            <w:gridSpan w:val="6"/>
            <w:shd w:val="clear" w:color="auto" w:fill="auto"/>
            <w:vAlign w:val="center"/>
          </w:tcPr>
          <w:p w14:paraId="401CB0AD" w14:textId="77777777" w:rsidR="00DA1C58" w:rsidRPr="00812A7A" w:rsidRDefault="00DA1C58" w:rsidP="00DA1C58">
            <w:pPr>
              <w:rPr>
                <w:bCs/>
                <w:sz w:val="16"/>
                <w:szCs w:val="16"/>
              </w:rPr>
            </w:pPr>
            <w:r w:rsidRPr="00812A7A">
              <w:rPr>
                <w:bCs/>
                <w:color w:val="000000" w:themeColor="text1"/>
                <w:sz w:val="16"/>
                <w:szCs w:val="16"/>
              </w:rPr>
              <w:lastRenderedPageBreak/>
              <w:t>Not assessed</w:t>
            </w:r>
          </w:p>
        </w:tc>
      </w:tr>
    </w:tbl>
    <w:p w14:paraId="0C800001" w14:textId="245D2199" w:rsidR="008C3837" w:rsidRPr="00812A7A" w:rsidRDefault="00FA13D4" w:rsidP="00BE3627">
      <w:pPr>
        <w:spacing w:after="160" w:line="259" w:lineRule="auto"/>
        <w:rPr>
          <w:rFonts w:eastAsiaTheme="majorEastAsia" w:cstheme="majorBidi"/>
          <w:b/>
          <w:caps/>
          <w:color w:val="00B0F0"/>
          <w:sz w:val="28"/>
          <w:szCs w:val="26"/>
        </w:rPr>
      </w:pPr>
      <w:r w:rsidRPr="00812A7A">
        <w:br w:type="page"/>
      </w:r>
    </w:p>
    <w:p w14:paraId="005B24AB" w14:textId="2FDE938B" w:rsidR="009C0757" w:rsidRPr="00812A7A" w:rsidRDefault="00FA13D4" w:rsidP="006C6C71">
      <w:pPr>
        <w:pStyle w:val="Heading2"/>
      </w:pPr>
      <w:bookmarkStart w:id="11" w:name="_Toc122332750"/>
      <w:r w:rsidRPr="00812A7A">
        <w:lastRenderedPageBreak/>
        <w:t>Internal review [</w:t>
      </w:r>
      <w:r w:rsidR="00794D13" w:rsidRPr="00812A7A">
        <w:t>CBM 6</w:t>
      </w:r>
      <w:r w:rsidRPr="00812A7A">
        <w:t>]</w:t>
      </w:r>
      <w:bookmarkEnd w:id="11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2835"/>
        <w:gridCol w:w="1205"/>
        <w:gridCol w:w="921"/>
        <w:gridCol w:w="2551"/>
        <w:gridCol w:w="1984"/>
        <w:gridCol w:w="1986"/>
      </w:tblGrid>
      <w:tr w:rsidR="00BF0B04" w:rsidRPr="00812A7A" w14:paraId="5F60A60D" w14:textId="77777777" w:rsidTr="00BF0B04">
        <w:trPr>
          <w:trHeight w:val="367"/>
        </w:trPr>
        <w:tc>
          <w:tcPr>
            <w:tcW w:w="1843" w:type="dxa"/>
            <w:vMerge w:val="restart"/>
            <w:shd w:val="clear" w:color="auto" w:fill="DFF5F9"/>
            <w:vAlign w:val="center"/>
            <w:hideMark/>
          </w:tcPr>
          <w:p w14:paraId="439A72D6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Indicator ID</w:t>
            </w:r>
          </w:p>
          <w:p w14:paraId="173456DC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  <w:p w14:paraId="4DF4F2FD" w14:textId="070B889D" w:rsidR="00BF0B04" w:rsidRPr="00812A7A" w:rsidRDefault="00BF0B04" w:rsidP="00AB3823">
            <w:pPr>
              <w:pStyle w:val="Indicatorsubsection"/>
              <w:rPr>
                <w:sz w:val="18"/>
                <w:szCs w:val="18"/>
                <w:lang w:val="en-GB"/>
              </w:rPr>
            </w:pPr>
            <w:bookmarkStart w:id="12" w:name="_Toc122332751"/>
            <w:r w:rsidRPr="00812A7A">
              <w:rPr>
                <w:lang w:val="en-GB"/>
              </w:rPr>
              <w:t>CBM 6</w:t>
            </w:r>
            <w:bookmarkEnd w:id="12"/>
          </w:p>
        </w:tc>
        <w:tc>
          <w:tcPr>
            <w:tcW w:w="1559" w:type="dxa"/>
            <w:shd w:val="clear" w:color="auto" w:fill="DFF5F9"/>
            <w:vAlign w:val="center"/>
            <w:hideMark/>
          </w:tcPr>
          <w:p w14:paraId="491AAF2C" w14:textId="77777777" w:rsidR="00BF0B04" w:rsidRPr="00812A7A" w:rsidRDefault="00BF0B04" w:rsidP="00AB3823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 xml:space="preserve">Dependent on: 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1FBF0DF8" w14:textId="5BEB06CB" w:rsidR="00BF0B04" w:rsidRPr="00812A7A" w:rsidRDefault="00BF0B04" w:rsidP="00AB3823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>CBM 1</w:t>
            </w:r>
          </w:p>
        </w:tc>
        <w:tc>
          <w:tcPr>
            <w:tcW w:w="4677" w:type="dxa"/>
            <w:gridSpan w:val="3"/>
            <w:vMerge w:val="restart"/>
            <w:shd w:val="clear" w:color="auto" w:fill="DFF5F9"/>
            <w:vAlign w:val="center"/>
          </w:tcPr>
          <w:p w14:paraId="7F87948B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Sub-section</w:t>
            </w:r>
            <w:r w:rsidRPr="00812A7A">
              <w:rPr>
                <w:rFonts w:eastAsia="Times New Roman" w:cs="Arial"/>
                <w:sz w:val="14"/>
                <w:szCs w:val="14"/>
                <w:lang w:eastAsia="en-GB"/>
              </w:rPr>
              <w:t> </w:t>
            </w:r>
          </w:p>
          <w:p w14:paraId="0F5A9435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20F46489" w14:textId="6F49C118" w:rsidR="00BF0B04" w:rsidRPr="00812A7A" w:rsidRDefault="00BF0B04" w:rsidP="00AB3823">
            <w:pPr>
              <w:jc w:val="center"/>
              <w:rPr>
                <w:sz w:val="18"/>
                <w:szCs w:val="18"/>
              </w:rPr>
            </w:pPr>
            <w:r w:rsidRPr="00812A7A">
              <w:rPr>
                <w:b/>
                <w:bCs/>
                <w:sz w:val="22"/>
                <w:szCs w:val="22"/>
              </w:rPr>
              <w:t>Internal review</w:t>
            </w:r>
          </w:p>
        </w:tc>
        <w:tc>
          <w:tcPr>
            <w:tcW w:w="1984" w:type="dxa"/>
            <w:vMerge w:val="restart"/>
            <w:shd w:val="clear" w:color="auto" w:fill="DFF5F9"/>
            <w:vAlign w:val="center"/>
            <w:hideMark/>
          </w:tcPr>
          <w:p w14:paraId="5AC1A6D9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  <w:t>PRI Principle</w:t>
            </w:r>
          </w:p>
          <w:p w14:paraId="522AACD2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4A34D3E6" w14:textId="2B873945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 w:val="22"/>
                <w:szCs w:val="22"/>
                <w:lang w:eastAsia="en-GB"/>
              </w:rPr>
              <w:t>6</w:t>
            </w:r>
            <w:r w:rsidRPr="00812A7A">
              <w:rPr>
                <w:rFonts w:eastAsia="Times New Roman" w:cs="Arial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86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7B1EFB3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  <w:t>Type of indicator</w:t>
            </w:r>
          </w:p>
          <w:p w14:paraId="30459B5E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796629DB" w14:textId="77777777" w:rsidR="00BF0B04" w:rsidRPr="00812A7A" w:rsidRDefault="00BF0B04" w:rsidP="00AB382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CORE</w:t>
            </w:r>
          </w:p>
        </w:tc>
      </w:tr>
      <w:tr w:rsidR="00BF0B04" w:rsidRPr="00812A7A" w14:paraId="3F1DB68D" w14:textId="77777777" w:rsidTr="00BF0B04">
        <w:trPr>
          <w:trHeight w:val="367"/>
        </w:trPr>
        <w:tc>
          <w:tcPr>
            <w:tcW w:w="1843" w:type="dxa"/>
            <w:vMerge/>
            <w:shd w:val="clear" w:color="auto" w:fill="DFF5F9"/>
            <w:vAlign w:val="center"/>
          </w:tcPr>
          <w:p w14:paraId="19CF255B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9" w:type="dxa"/>
            <w:shd w:val="clear" w:color="auto" w:fill="DFF5F9"/>
            <w:vAlign w:val="center"/>
          </w:tcPr>
          <w:p w14:paraId="3AD8C55D" w14:textId="77777777" w:rsidR="00BF0B04" w:rsidRPr="00812A7A" w:rsidRDefault="00BF0B04" w:rsidP="00AB3823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rFonts w:eastAsia="Times New Roman" w:cs="Arial"/>
                <w:b/>
                <w:sz w:val="14"/>
                <w:szCs w:val="14"/>
                <w:lang w:eastAsia="en-GB"/>
              </w:rPr>
              <w:t>Gateway to: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29184832" w14:textId="7DE6FFCB" w:rsidR="00BF0B04" w:rsidRPr="00812A7A" w:rsidRDefault="00BF0B04" w:rsidP="00AB3823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 w:rsidRPr="00812A7A"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7" w:type="dxa"/>
            <w:gridSpan w:val="3"/>
            <w:vMerge/>
            <w:shd w:val="clear" w:color="auto" w:fill="DFF5F9"/>
            <w:vAlign w:val="center"/>
          </w:tcPr>
          <w:p w14:paraId="23965D9D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4" w:type="dxa"/>
            <w:vMerge/>
            <w:shd w:val="clear" w:color="auto" w:fill="DFF5F9"/>
            <w:vAlign w:val="center"/>
          </w:tcPr>
          <w:p w14:paraId="5A921365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6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FEEED9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9C0757" w:rsidRPr="00812A7A" w14:paraId="48053BE0" w14:textId="77777777" w:rsidTr="00AB3823">
        <w:trPr>
          <w:trHeight w:val="567"/>
        </w:trPr>
        <w:tc>
          <w:tcPr>
            <w:tcW w:w="14884" w:type="dxa"/>
            <w:gridSpan w:val="8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71F11024" w14:textId="00CF5582" w:rsidR="00172EFB" w:rsidRPr="00812A7A" w:rsidRDefault="00172EFB" w:rsidP="00831549">
            <w:pPr>
              <w:spacing w:line="276" w:lineRule="auto"/>
              <w:textAlignment w:val="baseline"/>
              <w:rPr>
                <w:rFonts w:eastAsia="Times New Roman" w:cs="Arial"/>
                <w:b/>
                <w:lang w:eastAsia="en-GB"/>
              </w:rPr>
            </w:pPr>
            <w:r w:rsidRPr="00812A7A">
              <w:rPr>
                <w:rFonts w:eastAsia="Times New Roman" w:cs="Arial"/>
                <w:b/>
                <w:lang w:eastAsia="en-GB"/>
              </w:rPr>
              <w:t xml:space="preserve">Who in your organisation reviewed </w:t>
            </w:r>
            <w:r w:rsidR="00C962BD" w:rsidRPr="00812A7A">
              <w:rPr>
                <w:rFonts w:eastAsia="Times New Roman" w:cs="Arial"/>
                <w:b/>
                <w:lang w:eastAsia="en-GB"/>
              </w:rPr>
              <w:t>the responses submitted in your PRI report this year?</w:t>
            </w:r>
          </w:p>
        </w:tc>
      </w:tr>
      <w:tr w:rsidR="00B807AC" w:rsidRPr="00812A7A" w14:paraId="1241B22F" w14:textId="77777777" w:rsidTr="00646DE6">
        <w:trPr>
          <w:trHeight w:val="465"/>
        </w:trPr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702A372" w14:textId="77777777" w:rsidR="00B807AC" w:rsidRPr="00812A7A" w:rsidRDefault="00B807AC" w:rsidP="006C6C71">
            <w:pPr>
              <w:pStyle w:val="ListParagraph"/>
              <w:spacing w:line="276" w:lineRule="auto"/>
              <w:ind w:left="360"/>
              <w:textAlignment w:val="baseline"/>
            </w:pPr>
          </w:p>
        </w:tc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EDEDED" w:themeFill="accent3" w:themeFillTint="33"/>
            <w:vAlign w:val="center"/>
          </w:tcPr>
          <w:p w14:paraId="2B45079C" w14:textId="77F2A1C3" w:rsidR="00B807AC" w:rsidRPr="00812A7A" w:rsidRDefault="00B807AC" w:rsidP="00646DE6">
            <w:pPr>
              <w:spacing w:line="276" w:lineRule="auto"/>
              <w:jc w:val="center"/>
              <w:textAlignment w:val="baseline"/>
              <w:rPr>
                <w:rFonts w:eastAsia="Times New Roman" w:cs="Arial"/>
                <w:b/>
                <w:bCs/>
                <w:szCs w:val="16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szCs w:val="16"/>
                <w:lang w:eastAsia="en-GB"/>
              </w:rPr>
              <w:t>Sections</w:t>
            </w:r>
            <w:r w:rsidR="001E0E86" w:rsidRPr="00812A7A">
              <w:rPr>
                <w:rFonts w:eastAsia="Times New Roman" w:cs="Arial"/>
                <w:b/>
                <w:bCs/>
                <w:szCs w:val="16"/>
                <w:lang w:eastAsia="en-GB"/>
              </w:rPr>
              <w:t xml:space="preserve"> of PRI report</w:t>
            </w:r>
            <w:r w:rsidRPr="00812A7A">
              <w:rPr>
                <w:rFonts w:eastAsia="Times New Roman" w:cs="Arial"/>
                <w:b/>
                <w:bCs/>
                <w:szCs w:val="16"/>
                <w:lang w:eastAsia="en-GB"/>
              </w:rPr>
              <w:t xml:space="preserve"> review</w:t>
            </w:r>
            <w:r w:rsidR="001E0E86" w:rsidRPr="00812A7A">
              <w:rPr>
                <w:rFonts w:eastAsia="Times New Roman" w:cs="Arial"/>
                <w:b/>
                <w:bCs/>
                <w:szCs w:val="16"/>
                <w:lang w:eastAsia="en-GB"/>
              </w:rPr>
              <w:t>ed</w:t>
            </w:r>
          </w:p>
        </w:tc>
      </w:tr>
      <w:tr w:rsidR="009C0757" w:rsidRPr="00812A7A" w14:paraId="4B30D0A7" w14:textId="77777777" w:rsidTr="00646DE6">
        <w:trPr>
          <w:trHeight w:val="465"/>
        </w:trPr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F2F7D3D" w14:textId="2D0FFE2C" w:rsidR="005C5DE4" w:rsidRPr="00812A7A" w:rsidRDefault="005E7E1B" w:rsidP="006C6C71">
            <w:pPr>
              <w:pStyle w:val="ListParagraph"/>
              <w:numPr>
                <w:ilvl w:val="0"/>
                <w:numId w:val="104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>(A)</w:t>
            </w:r>
            <w:r w:rsidR="005C5DE4" w:rsidRPr="00812A7A">
              <w:t xml:space="preserve"> Board</w:t>
            </w:r>
            <w:r w:rsidR="00735941" w:rsidRPr="00812A7A">
              <w:t xml:space="preserve">, </w:t>
            </w:r>
            <w:r w:rsidR="005C5DE4" w:rsidRPr="00812A7A">
              <w:t>trustees</w:t>
            </w:r>
            <w:r w:rsidR="00243491" w:rsidRPr="00812A7A">
              <w:t>, or equivalent</w:t>
            </w:r>
          </w:p>
        </w:tc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EF924C6" w14:textId="5924E163" w:rsidR="00EA5E6F" w:rsidRDefault="00EA5E6F" w:rsidP="00EA5E6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[Dropdown list]</w:t>
            </w:r>
          </w:p>
          <w:p w14:paraId="76E7818E" w14:textId="77777777" w:rsidR="00B04DC0" w:rsidRPr="00812A7A" w:rsidRDefault="00B04DC0" w:rsidP="00EA5E6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</w:p>
          <w:p w14:paraId="6704AB4D" w14:textId="7C9C6519" w:rsidR="00EA5E6F" w:rsidRPr="00812A7A" w:rsidRDefault="00C334FA" w:rsidP="00EA5E6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EA5E6F" w:rsidRPr="00812A7A">
              <w:rPr>
                <w:rFonts w:eastAsia="Times New Roman" w:cs="Arial"/>
                <w:szCs w:val="16"/>
                <w:lang w:eastAsia="en-GB"/>
              </w:rPr>
              <w:t>1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)</w:t>
            </w:r>
            <w:r w:rsidR="00EA5E6F" w:rsidRPr="00812A7A">
              <w:rPr>
                <w:rFonts w:eastAsia="Times New Roman" w:cs="Arial"/>
                <w:szCs w:val="16"/>
                <w:lang w:eastAsia="en-GB"/>
              </w:rPr>
              <w:t xml:space="preserve"> the </w:t>
            </w:r>
            <w:r w:rsidR="00F16D97" w:rsidRPr="00812A7A">
              <w:rPr>
                <w:rFonts w:eastAsia="Times New Roman" w:cs="Arial"/>
                <w:szCs w:val="16"/>
                <w:lang w:eastAsia="en-GB"/>
              </w:rPr>
              <w:t>en</w:t>
            </w:r>
            <w:r w:rsidR="00F16D97" w:rsidRPr="00812A7A">
              <w:rPr>
                <w:rFonts w:eastAsia="Times New Roman" w:cs="Arial"/>
                <w:lang w:eastAsia="en-GB"/>
              </w:rPr>
              <w:t>tire</w:t>
            </w:r>
            <w:r w:rsidR="00F16D97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EA5E6F" w:rsidRPr="00812A7A">
              <w:rPr>
                <w:rFonts w:eastAsia="Times New Roman" w:cs="Arial"/>
                <w:szCs w:val="16"/>
                <w:lang w:eastAsia="en-GB"/>
              </w:rPr>
              <w:t>report</w:t>
            </w:r>
          </w:p>
          <w:p w14:paraId="0BD6D187" w14:textId="37F15206" w:rsidR="009C0757" w:rsidRPr="00812A7A" w:rsidRDefault="00C334FA" w:rsidP="00AB382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(</w:t>
            </w:r>
            <w:r w:rsidR="00FC4475" w:rsidRPr="00812A7A">
              <w:rPr>
                <w:rFonts w:eastAsia="Times New Roman" w:cs="Arial"/>
                <w:szCs w:val="16"/>
                <w:lang w:eastAsia="en-GB"/>
              </w:rPr>
              <w:t>2</w:t>
            </w:r>
            <w:r w:rsidRPr="00812A7A">
              <w:rPr>
                <w:rFonts w:eastAsia="Times New Roman" w:cs="Arial"/>
                <w:szCs w:val="16"/>
                <w:lang w:eastAsia="en-GB"/>
              </w:rPr>
              <w:t>)</w:t>
            </w:r>
            <w:r w:rsidR="00EA5E6F" w:rsidRPr="00812A7A">
              <w:rPr>
                <w:rFonts w:eastAsia="Times New Roman" w:cs="Arial"/>
                <w:szCs w:val="16"/>
                <w:lang w:eastAsia="en-GB"/>
              </w:rPr>
              <w:t xml:space="preserve"> </w:t>
            </w:r>
            <w:r w:rsidR="0074505B" w:rsidRPr="00812A7A">
              <w:rPr>
                <w:rFonts w:eastAsia="Times New Roman" w:cs="Arial"/>
                <w:szCs w:val="16"/>
                <w:lang w:eastAsia="en-GB"/>
              </w:rPr>
              <w:t xml:space="preserve">selected </w:t>
            </w:r>
            <w:r w:rsidR="00FC4475" w:rsidRPr="00812A7A">
              <w:rPr>
                <w:rFonts w:eastAsia="Times New Roman" w:cs="Arial"/>
                <w:szCs w:val="16"/>
                <w:lang w:eastAsia="en-GB"/>
              </w:rPr>
              <w:t xml:space="preserve">sections </w:t>
            </w:r>
            <w:r w:rsidR="00EA5E6F" w:rsidRPr="00812A7A">
              <w:rPr>
                <w:rFonts w:eastAsia="Times New Roman" w:cs="Arial"/>
                <w:szCs w:val="16"/>
                <w:lang w:eastAsia="en-GB"/>
              </w:rPr>
              <w:t>of the report</w:t>
            </w:r>
          </w:p>
        </w:tc>
      </w:tr>
      <w:tr w:rsidR="005C5DE4" w:rsidRPr="00812A7A" w14:paraId="3281C457" w14:textId="77777777" w:rsidTr="00646DE6">
        <w:trPr>
          <w:trHeight w:val="465"/>
        </w:trPr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09451B" w14:textId="144A5DA3" w:rsidR="005C5DE4" w:rsidRPr="00812A7A" w:rsidRDefault="0023270D" w:rsidP="006C6C71">
            <w:pPr>
              <w:pStyle w:val="ListParagraph"/>
              <w:numPr>
                <w:ilvl w:val="0"/>
                <w:numId w:val="104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>(B)</w:t>
            </w:r>
            <w:r w:rsidR="005C5DE4" w:rsidRPr="00812A7A">
              <w:t xml:space="preserve"> </w:t>
            </w:r>
            <w:r w:rsidR="005F573C" w:rsidRPr="00812A7A">
              <w:t xml:space="preserve">Senior executive-level staff, </w:t>
            </w:r>
            <w:hyperlink r:id="rId63" w:history="1">
              <w:r w:rsidR="005F573C" w:rsidRPr="00F36160">
                <w:rPr>
                  <w:rStyle w:val="Hyperlink"/>
                </w:rPr>
                <w:t>investment committee</w:t>
              </w:r>
            </w:hyperlink>
            <w:r w:rsidR="005F573C" w:rsidRPr="00812A7A">
              <w:t xml:space="preserve">, head of department, or equivalent </w:t>
            </w:r>
          </w:p>
        </w:tc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27ACFD65" w14:textId="03248E27" w:rsidR="005C5DE4" w:rsidRPr="00812A7A" w:rsidRDefault="00EA5E6F" w:rsidP="00EA5E6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rPr>
                <w:rFonts w:eastAsia="Times New Roman" w:cs="Arial"/>
                <w:szCs w:val="16"/>
                <w:lang w:eastAsia="en-GB"/>
              </w:rPr>
              <w:t>[As above]</w:t>
            </w:r>
          </w:p>
        </w:tc>
      </w:tr>
      <w:tr w:rsidR="00F645E1" w:rsidRPr="00812A7A" w14:paraId="79F5C997" w14:textId="77777777" w:rsidTr="0080077C">
        <w:trPr>
          <w:trHeight w:val="465"/>
        </w:trPr>
        <w:tc>
          <w:tcPr>
            <w:tcW w:w="14884" w:type="dxa"/>
            <w:gridSpan w:val="8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52EA827" w14:textId="0ADF0DE0" w:rsidR="00F645E1" w:rsidRPr="00812A7A" w:rsidRDefault="00F645E1" w:rsidP="006C6C71">
            <w:pPr>
              <w:pStyle w:val="ListParagraph"/>
              <w:numPr>
                <w:ilvl w:val="0"/>
                <w:numId w:val="97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 w:rsidRPr="00812A7A">
              <w:t xml:space="preserve">(C) </w:t>
            </w:r>
            <w:r w:rsidR="007523DF" w:rsidRPr="00812A7A">
              <w:t>None of the above internal roles reviewed selected sections o</w:t>
            </w:r>
            <w:r w:rsidR="007A15B3" w:rsidRPr="00812A7A">
              <w:t>r</w:t>
            </w:r>
            <w:r w:rsidR="007523DF" w:rsidRPr="00812A7A">
              <w:t xml:space="preserve"> the entirety of the </w:t>
            </w:r>
            <w:r w:rsidR="00FE3459" w:rsidRPr="00812A7A">
              <w:t>responses</w:t>
            </w:r>
            <w:r w:rsidR="007523DF" w:rsidRPr="00812A7A">
              <w:t xml:space="preserve"> submitted in our PRI report this year</w:t>
            </w:r>
          </w:p>
        </w:tc>
      </w:tr>
      <w:tr w:rsidR="00FA6C25" w:rsidRPr="00812A7A" w14:paraId="5C9B1F27" w14:textId="77777777" w:rsidTr="00AB3823">
        <w:trPr>
          <w:trHeight w:val="300"/>
        </w:trPr>
        <w:tc>
          <w:tcPr>
            <w:tcW w:w="1488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2AC181BE" w14:textId="77777777" w:rsidR="00FA6C25" w:rsidRPr="00812A7A" w:rsidRDefault="00FA6C25" w:rsidP="00FA6C25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FA6C25" w:rsidRPr="00812A7A" w14:paraId="15900CC7" w14:textId="77777777" w:rsidTr="00AB3823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4606FFCC" w14:textId="77777777" w:rsidR="00FA6C25" w:rsidRPr="00812A7A" w:rsidRDefault="00FA6C25" w:rsidP="00FA6C25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Explanatory notes</w:t>
            </w:r>
          </w:p>
        </w:tc>
      </w:tr>
      <w:tr w:rsidR="00FA6C25" w:rsidRPr="00812A7A" w14:paraId="244F4878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5246F5B3" w14:textId="77777777" w:rsidR="00FA6C25" w:rsidRPr="00812A7A" w:rsidRDefault="00FA6C25" w:rsidP="00FA6C25">
            <w:pPr>
              <w:rPr>
                <w:rStyle w:val="Hyperlink"/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Purpose of indicator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1EBDDC51" w14:textId="3F6273D3" w:rsidR="00FA6C25" w:rsidRPr="00812A7A" w:rsidRDefault="00FA6C25" w:rsidP="00FA6C2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The PRI aims to increase 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>signatories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accountability as part of its 10-year </w:t>
            </w:r>
            <w:hyperlink r:id="rId64" w:history="1">
              <w:r w:rsidRPr="00812A7A">
                <w:rPr>
                  <w:rStyle w:val="Hyperlink"/>
                  <w:sz w:val="16"/>
                  <w:szCs w:val="16"/>
                </w:rPr>
                <w:t>Blueprint for Responsible Investment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. Undertaking confidence-building measures will enhance the credibility of 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 xml:space="preserve">the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ESG disclosures </w:t>
            </w:r>
            <w:r w:rsidR="002116F7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signatories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made to the PRI in this submission, their reporting to clients or beneficiaries and elsewhere. The PRI recommends 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 xml:space="preserve">that additional staff members review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the entirety of the 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>signatory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submission to ensure that it does not contain material inaccuracies. </w:t>
            </w:r>
          </w:p>
          <w:p w14:paraId="74B9DC86" w14:textId="77777777" w:rsidR="00FA6C25" w:rsidRPr="00812A7A" w:rsidRDefault="00FA6C25" w:rsidP="00FA6C2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074CB1D7" w14:textId="30A80B17" w:rsidR="00FA6C25" w:rsidRPr="00812A7A" w:rsidRDefault="00FA6C25" w:rsidP="00FA6C2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This indicator aims to capture which members of the 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>signatories</w:t>
            </w:r>
            <w:r w:rsidR="00FF5E05"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="00FF5E05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staff have reviewed their PRI report and 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>to what extent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. </w:t>
            </w:r>
            <w:r w:rsidR="002116F7">
              <w:rPr>
                <w:rStyle w:val="Hyperlink"/>
                <w:color w:val="000000" w:themeColor="text1"/>
                <w:sz w:val="16"/>
                <w:szCs w:val="16"/>
              </w:rPr>
              <w:t>For example, it</w:t>
            </w:r>
            <w:r w:rsidR="002116F7"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is considered good practice for senior executives to review the full PRI submission.</w:t>
            </w:r>
          </w:p>
        </w:tc>
      </w:tr>
      <w:tr w:rsidR="00BF654B" w:rsidRPr="00812A7A" w14:paraId="0849C5D1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518B1E1A" w14:textId="4383BA33" w:rsidR="00BF654B" w:rsidRPr="00812A7A" w:rsidRDefault="00BF654B" w:rsidP="00BF654B">
            <w:pPr>
              <w:rPr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Additional reporting guidance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5FAFA647" w14:textId="69C6B63F" w:rsidR="00BF654B" w:rsidRPr="00812A7A" w:rsidRDefault="00BF654B" w:rsidP="00BF654B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In this indicator:</w:t>
            </w:r>
          </w:p>
          <w:p w14:paraId="38ACFB58" w14:textId="77777777" w:rsidR="00BF654B" w:rsidRPr="00812A7A" w:rsidRDefault="00BF654B" w:rsidP="00BF654B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4B60B403" w14:textId="3C75FCA5" w:rsidR="00BF654B" w:rsidRPr="0009075B" w:rsidRDefault="00BF654B" w:rsidP="00BF654B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 w:rsidRPr="00F36160">
              <w:rPr>
                <w:rStyle w:val="Hyperlink"/>
                <w:color w:val="000000" w:themeColor="text1"/>
                <w:sz w:val="16"/>
                <w:szCs w:val="16"/>
              </w:rPr>
              <w:lastRenderedPageBreak/>
              <w:t>‘Senior executive-level staff, or equivalent’ may include the signatory organisation’s Chief Executive Officer (CEO), Chief Investment Officer (CIO)</w:t>
            </w:r>
            <w:r>
              <w:rPr>
                <w:rStyle w:val="Hyperlink"/>
                <w:color w:val="000000" w:themeColor="text1"/>
                <w:sz w:val="16"/>
                <w:szCs w:val="16"/>
              </w:rPr>
              <w:t>,</w:t>
            </w:r>
            <w:r w:rsidRPr="00F36160">
              <w:rPr>
                <w:rStyle w:val="Hyperlink"/>
                <w:color w:val="000000" w:themeColor="text1"/>
                <w:sz w:val="16"/>
                <w:szCs w:val="16"/>
              </w:rPr>
              <w:t xml:space="preserve"> Chief Operating Officer (COO), or its partners in the case of private equity funds. </w:t>
            </w:r>
          </w:p>
          <w:p w14:paraId="2415C0BD" w14:textId="77777777" w:rsidR="00BF654B" w:rsidRPr="002116F7" w:rsidRDefault="00BF654B" w:rsidP="00BF654B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046B0BF0" w14:textId="1B913064" w:rsidR="00BF654B" w:rsidRPr="0009075B" w:rsidRDefault="00BF654B" w:rsidP="00BF654B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 w:rsidRPr="00F36160">
              <w:rPr>
                <w:rStyle w:val="Hyperlink"/>
                <w:color w:val="000000" w:themeColor="text1"/>
                <w:sz w:val="16"/>
                <w:szCs w:val="16"/>
              </w:rPr>
              <w:t>‘Investment committee, or equivalent’ may include risk</w:t>
            </w:r>
            <w:r>
              <w:rPr>
                <w:rStyle w:val="Hyperlink"/>
                <w:color w:val="000000" w:themeColor="text1"/>
                <w:sz w:val="16"/>
                <w:szCs w:val="16"/>
              </w:rPr>
              <w:t>-focused</w:t>
            </w:r>
            <w:r w:rsidRPr="00F36160">
              <w:rPr>
                <w:rStyle w:val="Hyperlink"/>
                <w:color w:val="000000" w:themeColor="text1"/>
                <w:sz w:val="16"/>
                <w:szCs w:val="16"/>
              </w:rPr>
              <w:t xml:space="preserve"> or ESG committees. </w:t>
            </w:r>
          </w:p>
          <w:p w14:paraId="30312B8F" w14:textId="77777777" w:rsidR="00BF654B" w:rsidRPr="002116F7" w:rsidRDefault="00BF654B" w:rsidP="00BF654B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610E9A7E" w14:textId="51446741" w:rsidR="00BF654B" w:rsidRPr="00812A7A" w:rsidRDefault="00BF654B" w:rsidP="00BF654B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 w:rsidRPr="00F36160">
              <w:rPr>
                <w:rStyle w:val="Hyperlink"/>
                <w:color w:val="000000" w:themeColor="text1"/>
                <w:sz w:val="16"/>
                <w:szCs w:val="16"/>
              </w:rPr>
              <w:t>‘Head of department, or equivalent’ may refer to senior</w:t>
            </w:r>
            <w:r>
              <w:rPr>
                <w:rStyle w:val="Hyperlink"/>
                <w:color w:val="000000" w:themeColor="text1"/>
                <w:sz w:val="16"/>
                <w:szCs w:val="16"/>
              </w:rPr>
              <w:t xml:space="preserve"> staff</w:t>
            </w:r>
            <w:r w:rsidRPr="00F36160">
              <w:rPr>
                <w:rStyle w:val="Hyperlink"/>
                <w:color w:val="000000" w:themeColor="text1"/>
                <w:sz w:val="16"/>
                <w:szCs w:val="16"/>
              </w:rPr>
              <w:t xml:space="preserve"> members who manage entire divisions or teams within the signatory organisation.</w:t>
            </w:r>
            <w:r w:rsidRPr="00812A7A">
              <w:rPr>
                <w:rFonts w:eastAsia="Times New Roman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BF654B" w:rsidRPr="00812A7A" w14:paraId="2420BFB1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7717CD91" w14:textId="77777777" w:rsidR="00BF654B" w:rsidRPr="00812A7A" w:rsidRDefault="00BF654B" w:rsidP="00BF654B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lastRenderedPageBreak/>
              <w:t>Other resources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67362B1C" w14:textId="693C176D" w:rsidR="00BF654B" w:rsidRPr="00812A7A" w:rsidRDefault="00BF654B" w:rsidP="00BF654B">
            <w:pPr>
              <w:rPr>
                <w:rStyle w:val="Hyperlink"/>
                <w:color w:val="000000" w:themeColor="text1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For further guidance on how to strengthen the confidence of responses to the PRI Reporting Framework, refer to </w:t>
            </w:r>
            <w:hyperlink r:id="rId65" w:history="1">
              <w:r>
                <w:rPr>
                  <w:rStyle w:val="Hyperlink"/>
                  <w:sz w:val="16"/>
                  <w:szCs w:val="16"/>
                </w:rPr>
                <w:t>Introducing confidence-building measures to PRI signatories’ reported data</w:t>
              </w:r>
            </w:hyperlink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.</w:t>
            </w:r>
          </w:p>
        </w:tc>
      </w:tr>
      <w:tr w:rsidR="00BF654B" w:rsidRPr="00812A7A" w14:paraId="5A7A9CF5" w14:textId="77777777" w:rsidTr="00AB3823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131652FE" w14:textId="77777777" w:rsidR="00BF654B" w:rsidRPr="00812A7A" w:rsidRDefault="00BF654B" w:rsidP="00BF654B">
            <w:pPr>
              <w:rPr>
                <w:color w:val="FFFFFF" w:themeColor="background1"/>
                <w:sz w:val="16"/>
                <w:szCs w:val="16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Logic</w:t>
            </w:r>
          </w:p>
        </w:tc>
      </w:tr>
      <w:tr w:rsidR="00BF654B" w:rsidRPr="00812A7A" w14:paraId="4C139983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2CE4562C" w14:textId="77777777" w:rsidR="00BF654B" w:rsidRPr="00812A7A" w:rsidRDefault="00BF654B" w:rsidP="00BF654B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Dependent on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4ECA906E" w14:textId="21A27CDB" w:rsidR="00BF654B" w:rsidRPr="00812A7A" w:rsidRDefault="00BF654B" w:rsidP="00BF654B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[CBM 1]</w:t>
            </w:r>
          </w:p>
        </w:tc>
      </w:tr>
      <w:tr w:rsidR="00BF654B" w:rsidRPr="00812A7A" w14:paraId="532B3F59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26F5105B" w14:textId="77777777" w:rsidR="00BF654B" w:rsidRPr="00812A7A" w:rsidRDefault="00BF654B" w:rsidP="00BF654B">
            <w:pPr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bCs/>
                <w:sz w:val="16"/>
                <w:szCs w:val="16"/>
              </w:rPr>
              <w:t>Gateway to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22813DC4" w14:textId="7DB3A0BE" w:rsidR="00BF654B" w:rsidRPr="00812A7A" w:rsidRDefault="00BF654B" w:rsidP="00BF654B">
            <w:pPr>
              <w:rPr>
                <w:color w:val="000000" w:themeColor="text1"/>
                <w:sz w:val="16"/>
                <w:szCs w:val="16"/>
              </w:rPr>
            </w:pPr>
            <w:r w:rsidRPr="00812A7A">
              <w:rPr>
                <w:color w:val="000000" w:themeColor="text1"/>
                <w:sz w:val="16"/>
                <w:szCs w:val="16"/>
              </w:rPr>
              <w:t>N/A</w:t>
            </w:r>
          </w:p>
        </w:tc>
      </w:tr>
      <w:tr w:rsidR="00BF654B" w:rsidRPr="00812A7A" w14:paraId="16222323" w14:textId="77777777" w:rsidTr="00AB3823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3D2A2D8C" w14:textId="77777777" w:rsidR="00BF654B" w:rsidRPr="00812A7A" w:rsidRDefault="00BF654B" w:rsidP="00BF654B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 w:rsidRPr="00812A7A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Assessment</w:t>
            </w:r>
          </w:p>
        </w:tc>
      </w:tr>
      <w:tr w:rsidR="00BF654B" w:rsidRPr="00812A7A" w14:paraId="360CCB82" w14:textId="77777777" w:rsidTr="00A15ADA">
        <w:trPr>
          <w:trHeight w:val="354"/>
        </w:trPr>
        <w:tc>
          <w:tcPr>
            <w:tcW w:w="1843" w:type="dxa"/>
            <w:shd w:val="clear" w:color="auto" w:fill="auto"/>
            <w:vAlign w:val="center"/>
          </w:tcPr>
          <w:p w14:paraId="36AAAFEF" w14:textId="77777777" w:rsidR="00BF654B" w:rsidRPr="00812A7A" w:rsidRDefault="00BF654B" w:rsidP="00BF654B">
            <w:pPr>
              <w:rPr>
                <w:b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Assessment criteria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14:paraId="78B13457" w14:textId="483A1795" w:rsidR="00BF654B" w:rsidRPr="00812A7A" w:rsidRDefault="00BF654B" w:rsidP="00BF654B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100 points for this indicator. The final score will be based on the highest</w:t>
            </w:r>
            <w:r>
              <w:rPr>
                <w:rStyle w:val="Hyperlink"/>
                <w:color w:val="000000" w:themeColor="text1"/>
                <w:sz w:val="16"/>
                <w:szCs w:val="16"/>
              </w:rPr>
              <w:t>-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scoring answer option.</w:t>
            </w:r>
          </w:p>
          <w:p w14:paraId="4131DED3" w14:textId="77777777" w:rsidR="00BF654B" w:rsidRPr="00812A7A" w:rsidRDefault="00BF654B" w:rsidP="00BF654B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313E09D0" w14:textId="714CC31E" w:rsidR="00BF654B" w:rsidRPr="00812A7A" w:rsidRDefault="00BF654B" w:rsidP="00BF654B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100 points for 1 or more selections from A–B </w:t>
            </w:r>
            <w:r w:rsidRPr="00812A7A">
              <w:rPr>
                <w:rStyle w:val="Hyperlink"/>
                <w:b/>
                <w:bCs/>
                <w:color w:val="000000" w:themeColor="text1"/>
                <w:sz w:val="16"/>
                <w:szCs w:val="16"/>
              </w:rPr>
              <w:t>AND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selection of (1).</w:t>
            </w:r>
          </w:p>
          <w:p w14:paraId="340B3D24" w14:textId="245D1968" w:rsidR="00BF654B" w:rsidRPr="00812A7A" w:rsidRDefault="00BF654B" w:rsidP="00BF654B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50 points for 1 or more selections from A–B </w:t>
            </w:r>
            <w:r w:rsidRPr="00812A7A">
              <w:rPr>
                <w:rStyle w:val="Hyperlink"/>
                <w:b/>
                <w:bCs/>
                <w:color w:val="000000" w:themeColor="text1"/>
                <w:sz w:val="16"/>
                <w:szCs w:val="16"/>
              </w:rPr>
              <w:t>AND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selection of (2).</w:t>
            </w:r>
          </w:p>
          <w:p w14:paraId="61C6CDD5" w14:textId="2C345CB3" w:rsidR="00BF654B" w:rsidRPr="00812A7A" w:rsidRDefault="00BF654B" w:rsidP="00BF654B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0 points for C.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63236032" w14:textId="4826946F" w:rsidR="00BF654B" w:rsidRPr="00812A7A" w:rsidRDefault="00BF654B" w:rsidP="00BF654B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Further details: </w:t>
            </w:r>
          </w:p>
          <w:p w14:paraId="2EA3BE50" w14:textId="77777777" w:rsidR="00BF654B" w:rsidRPr="00812A7A" w:rsidRDefault="00BF654B" w:rsidP="00BF654B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4D2C42D5" w14:textId="580FE3E4" w:rsidR="00BF654B" w:rsidRPr="00812A7A" w:rsidRDefault="00BF654B" w:rsidP="00BF654B">
            <w:pPr>
              <w:rPr>
                <w:rStyle w:val="Hyperlink"/>
                <w:color w:val="000000" w:themeColor="text1"/>
              </w:rPr>
            </w:pP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Selecting </w:t>
            </w:r>
            <w:r>
              <w:rPr>
                <w:rStyle w:val="Hyperlink"/>
                <w:color w:val="000000" w:themeColor="text1"/>
                <w:sz w:val="16"/>
                <w:szCs w:val="16"/>
              </w:rPr>
              <w:t>‘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>C</w:t>
            </w:r>
            <w:r>
              <w:rPr>
                <w:rStyle w:val="Hyperlink"/>
                <w:color w:val="000000" w:themeColor="text1"/>
                <w:sz w:val="16"/>
                <w:szCs w:val="16"/>
              </w:rPr>
              <w:t>’</w:t>
            </w:r>
            <w:r w:rsidRPr="00812A7A">
              <w:rPr>
                <w:rStyle w:val="Hyperlink"/>
                <w:color w:val="000000" w:themeColor="text1"/>
                <w:sz w:val="16"/>
                <w:szCs w:val="16"/>
              </w:rPr>
              <w:t xml:space="preserve"> will result in 0/100 points for this indicator.</w:t>
            </w:r>
          </w:p>
        </w:tc>
      </w:tr>
      <w:tr w:rsidR="00BF654B" w:rsidRPr="00812A7A" w14:paraId="1FD24E0C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63B5EBEE" w14:textId="77777777" w:rsidR="00BF654B" w:rsidRPr="00812A7A" w:rsidDel="002635ED" w:rsidRDefault="00BF654B" w:rsidP="00BF654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2A7A">
              <w:rPr>
                <w:b/>
                <w:sz w:val="16"/>
                <w:szCs w:val="16"/>
              </w:rPr>
              <w:t>Multiplier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5528F881" w14:textId="4D0EB63B" w:rsidR="00BF654B" w:rsidRPr="00812A7A" w:rsidRDefault="00F53272" w:rsidP="00BF654B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color w:val="000000" w:themeColor="text1"/>
                <w:sz w:val="16"/>
                <w:szCs w:val="16"/>
              </w:rPr>
              <w:t>Low</w:t>
            </w:r>
          </w:p>
        </w:tc>
      </w:tr>
    </w:tbl>
    <w:p w14:paraId="0F3EB0C7" w14:textId="5E17B189" w:rsidR="00AB3823" w:rsidRPr="00812A7A" w:rsidRDefault="00AB3823">
      <w:pPr>
        <w:spacing w:after="160" w:line="259" w:lineRule="auto"/>
      </w:pPr>
    </w:p>
    <w:p w14:paraId="1C45033E" w14:textId="77777777" w:rsidR="008D37FD" w:rsidRPr="00812A7A" w:rsidRDefault="008D37FD" w:rsidP="004A363F">
      <w:pPr>
        <w:spacing w:after="160" w:line="259" w:lineRule="auto"/>
      </w:pPr>
    </w:p>
    <w:sectPr w:rsidR="008D37FD" w:rsidRPr="00812A7A" w:rsidSect="005144BD">
      <w:footerReference w:type="default" r:id="rId66"/>
      <w:footerReference w:type="first" r:id="rId67"/>
      <w:pgSz w:w="16838" w:h="11906" w:orient="landscape"/>
      <w:pgMar w:top="1440" w:right="998" w:bottom="144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A8EAB" w14:textId="77777777" w:rsidR="00000D39" w:rsidRDefault="00000D39" w:rsidP="00A27FF8">
      <w:pPr>
        <w:spacing w:line="240" w:lineRule="auto"/>
      </w:pPr>
      <w:r>
        <w:separator/>
      </w:r>
    </w:p>
  </w:endnote>
  <w:endnote w:type="continuationSeparator" w:id="0">
    <w:p w14:paraId="5C390935" w14:textId="77777777" w:rsidR="00000D39" w:rsidRDefault="00000D39" w:rsidP="00A27FF8">
      <w:pPr>
        <w:spacing w:line="240" w:lineRule="auto"/>
      </w:pPr>
      <w:r>
        <w:continuationSeparator/>
      </w:r>
    </w:p>
  </w:endnote>
  <w:endnote w:type="continuationNotice" w:id="1">
    <w:p w14:paraId="4543E256" w14:textId="77777777" w:rsidR="00000D39" w:rsidRDefault="00000D3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right Sans Regular">
    <w:altName w:val="Arial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Light">
    <w:altName w:val="Calibri"/>
    <w:panose1 w:val="00000000000000000000"/>
    <w:charset w:val="00"/>
    <w:family w:val="auto"/>
    <w:notTrueType/>
    <w:pitch w:val="variable"/>
    <w:sig w:usb0="0000000F" w:usb1="00000001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5DE77" w14:textId="7362C7A9" w:rsidR="00795E68" w:rsidRPr="0098553C" w:rsidRDefault="00795E68" w:rsidP="00A27FF8">
    <w:pPr>
      <w:pStyle w:val="Footer"/>
      <w:framePr w:w="11854" w:wrap="around" w:vAnchor="text" w:hAnchor="page" w:x="16" w:y="391"/>
      <w:jc w:val="center"/>
      <w:rPr>
        <w:rStyle w:val="PageNumber"/>
        <w:rFonts w:ascii="Alright Sans Light" w:hAnsi="Alright Sans Light"/>
        <w:color w:val="808080"/>
      </w:rPr>
    </w:pPr>
    <w:r w:rsidRPr="0098553C">
      <w:rPr>
        <w:rStyle w:val="PageNumber"/>
        <w:rFonts w:ascii="Alright Sans Light" w:hAnsi="Alright Sans Light"/>
        <w:color w:val="808080"/>
      </w:rPr>
      <w:fldChar w:fldCharType="begin"/>
    </w:r>
    <w:r w:rsidRPr="0098553C">
      <w:rPr>
        <w:rStyle w:val="PageNumber"/>
        <w:rFonts w:ascii="Alright Sans Light" w:hAnsi="Alright Sans Light"/>
        <w:color w:val="808080"/>
      </w:rPr>
      <w:instrText xml:space="preserve">PAGE  </w:instrText>
    </w:r>
    <w:r w:rsidRPr="0098553C">
      <w:rPr>
        <w:rStyle w:val="PageNumber"/>
        <w:rFonts w:ascii="Alright Sans Light" w:hAnsi="Alright Sans Light"/>
        <w:color w:val="808080"/>
      </w:rPr>
      <w:fldChar w:fldCharType="separate"/>
    </w:r>
    <w:r>
      <w:rPr>
        <w:rStyle w:val="PageNumber"/>
        <w:rFonts w:ascii="Alright Sans Light" w:hAnsi="Alright Sans Light"/>
        <w:noProof/>
        <w:color w:val="808080"/>
      </w:rPr>
      <w:t>151</w:t>
    </w:r>
    <w:r w:rsidRPr="0098553C">
      <w:rPr>
        <w:rStyle w:val="PageNumber"/>
        <w:rFonts w:ascii="Alright Sans Light" w:hAnsi="Alright Sans Light"/>
        <w:color w:val="808080"/>
      </w:rPr>
      <w:fldChar w:fldCharType="end"/>
    </w:r>
  </w:p>
  <w:p w14:paraId="44A43680" w14:textId="63AC175A" w:rsidR="00795E68" w:rsidRDefault="00795E68">
    <w:pPr>
      <w:pStyle w:val="Footer"/>
    </w:pPr>
    <w:r w:rsidRPr="000F3CF4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8249" behindDoc="0" locked="0" layoutInCell="1" allowOverlap="1" wp14:anchorId="5C08D63F" wp14:editId="3F718C96">
              <wp:simplePos x="0" y="0"/>
              <wp:positionH relativeFrom="margin">
                <wp:align>right</wp:align>
              </wp:positionH>
              <wp:positionV relativeFrom="paragraph">
                <wp:posOffset>160020</wp:posOffset>
              </wp:positionV>
              <wp:extent cx="400050" cy="280670"/>
              <wp:effectExtent l="0" t="0" r="0" b="5080"/>
              <wp:wrapSquare wrapText="bothSides"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C05691" w14:textId="7507B4CA" w:rsidR="00795E68" w:rsidRPr="000F3CF4" w:rsidRDefault="00795E68" w:rsidP="00794C3D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794C3D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794C3D"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94C3D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t>151</w:t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08D63F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0" type="#_x0000_t202" style="position:absolute;margin-left:-19.7pt;margin-top:12.6pt;width:31.5pt;height:22.1pt;z-index:251658249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E4r9gEAAMwDAAAOAAAAZHJzL2Uyb0RvYy54bWysU9uO2yAQfa/Uf0C8N3aiZC9WnNV2t1tV&#10;2m4rbfsBE4xjVGAokNjp13fA3mzUvlV9QQMDZ+acOaxvBqPZQfqg0NZ8Pis5k1Zgo+yu5t+/Pby7&#10;4ixEsA1otLLmRxn4zebtm3XvKrnADnUjPSMQG6re1byL0VVFEUQnDYQZOmkp2aI3EGnrd0XjoSd0&#10;o4tFWV4UPfrGeRQyBDq9H5N8k/HbVor4pW2DjEzXnHqLefV53aa12Kyh2nlwnRJTG/APXRhQloqe&#10;oO4hAtt79ReUUcJjwDbOBJoC21YJmTkQm3n5B5vnDpzMXEic4E4yhf8HK54Oz+6rZ3F4jwMNMJMI&#10;7hHFj8As3nVgd/LWe+w7CQ0VnifJit6FanqapA5VSCDb/jM2NGTYR8xAQ+tNUoV4MkKnARxPossh&#10;MkGHy7IsV5QRlFpclReXeSgFVC+PnQ/xo0TDUlBzTzPN4HB4DDE1A9XLlVTL4oPSOs9VW9bX/Hq1&#10;WOUHZxmjItlOK1PzK6pfTkZIHD/YJj+OoPQYUwFtJ9KJ58g4DtuBLibyW2yORN/jaC/6DhR06H9x&#10;1pO1ah5+7sFLzvQnSxJez5fL5MW8Wa4uF7Tx55nteQasIKiaR87G8C5m/45cb0nqVmUZXjuZeiXL&#10;ZHUmeydPnu/zrddPuPkNAAD//wMAUEsDBBQABgAIAAAAIQBs55aq2gAAAAUBAAAPAAAAZHJzL2Rv&#10;d25yZXYueG1sTI/BTsMwEETvSPyDtUjcqE1oKxriVAjEFUSBSr1t420SEa+j2G3C37Oc6Gk0mtXM&#10;22I9+U6daIhtYAu3MwOKuAqu5drC58fLzT2omJAddoHJwg9FWJeXFwXmLoz8TqdNqpWUcMzRQpNS&#10;n2sdq4Y8xlnoiSU7hMFjEjvU2g04SrnvdGbMUntsWRYa7Ompoep7c/QWvl4Pu+3cvNXPftGPYTKa&#10;/Upbe301PT6ASjSl/2P4wxd0KIVpH47souosyCPJQrbIQEm6vBO/F13NQZeFPqcvfwEAAP//AwBQ&#10;SwECLQAUAAYACAAAACEAtoM4kv4AAADhAQAAEwAAAAAAAAAAAAAAAAAAAAAAW0NvbnRlbnRfVHlw&#10;ZXNdLnhtbFBLAQItABQABgAIAAAAIQA4/SH/1gAAAJQBAAALAAAAAAAAAAAAAAAAAC8BAABfcmVs&#10;cy8ucmVsc1BLAQItABQABgAIAAAAIQD3TE4r9gEAAMwDAAAOAAAAAAAAAAAAAAAAAC4CAABkcnMv&#10;ZTJvRG9jLnhtbFBLAQItABQABgAIAAAAIQBs55aq2gAAAAUBAAAPAAAAAAAAAAAAAAAAAFAEAABk&#10;cnMvZG93bnJldi54bWxQSwUGAAAAAAQABADzAAAAVwUAAAAA&#10;" filled="f" stroked="f">
              <v:textbox>
                <w:txbxContent>
                  <w:p w14:paraId="17C05691" w14:textId="7507B4CA" w:rsidR="00795E68" w:rsidRPr="000F3CF4" w:rsidRDefault="00795E68" w:rsidP="00794C3D">
                    <w:pPr>
                      <w:jc w:val="right"/>
                      <w:rPr>
                        <w:color w:val="FFFFFF" w:themeColor="background1"/>
                      </w:rPr>
                    </w:pPr>
                    <w:r w:rsidRPr="00794C3D">
                      <w:rPr>
                        <w:color w:val="FFFFFF" w:themeColor="background1"/>
                      </w:rPr>
                      <w:fldChar w:fldCharType="begin"/>
                    </w:r>
                    <w:r w:rsidRPr="00794C3D"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 w:rsidRPr="00794C3D">
                      <w:rPr>
                        <w:color w:val="FFFFFF" w:themeColor="background1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</w:rPr>
                      <w:t>151</w:t>
                    </w:r>
                    <w:r w:rsidRPr="00794C3D"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0F3CF4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8246" behindDoc="0" locked="0" layoutInCell="1" allowOverlap="1" wp14:anchorId="0789A107" wp14:editId="4DCCDF5D">
              <wp:simplePos x="0" y="0"/>
              <wp:positionH relativeFrom="column">
                <wp:posOffset>5132070</wp:posOffset>
              </wp:positionH>
              <wp:positionV relativeFrom="paragraph">
                <wp:posOffset>150495</wp:posOffset>
              </wp:positionV>
              <wp:extent cx="1781175" cy="280670"/>
              <wp:effectExtent l="0" t="0" r="0" b="5080"/>
              <wp:wrapSquare wrapText="bothSides"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175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6E6FF" w14:textId="1E87AABF" w:rsidR="00795E68" w:rsidRPr="000F3CF4" w:rsidRDefault="00000000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1" w:history="1">
                            <w:r w:rsidR="00795E68" w:rsidRPr="000F3CF4">
                              <w:rPr>
                                <w:rStyle w:val="Hyperlink"/>
                                <w:color w:val="FFFFFF" w:themeColor="background1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9A107" id="Text Box 13" o:spid="_x0000_s1031" type="#_x0000_t202" style="position:absolute;margin-left:404.1pt;margin-top:11.85pt;width:140.25pt;height:22.1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e5Q+gEAANQDAAAOAAAAZHJzL2Uyb0RvYy54bWysU11v2yAUfZ+0/4B4X/yhpEmtOFXXrtOk&#10;rpvU7QdgjGM04DIgsbNfvwt202h7m+YHxPWFc+8597C9GbUiR+G8BFPTYpFTIgyHVpp9Tb9/e3i3&#10;ocQHZlqmwIianoSnN7u3b7aDrUQJPahWOIIgxleDrWkfgq2yzPNeaOYXYIXBZAdOs4Ch22etYwOi&#10;a5WVeX6VDeBa64AL7/Hv/ZSku4TfdYKHL13nRSCqpthbSKtLaxPXbLdl1d4x20s+t8H+oQvNpMGi&#10;Z6h7Fhg5OPkXlJbcgYcuLDjoDLpOcpE4IJsi/4PNc8+sSFxQHG/PMvn/B8ufjs/2qyNhfA8jDjCR&#10;8PYR+A9PDNz1zOzFrXMw9IK1WLiIkmWD9dV8NUrtKx9BmuEztDhkdgiQgMbO6agK8iSIjgM4nUUX&#10;YyA8llxvimK9ooRjrtzkV+s0lYxVL7et8+GjAE3ipqYOh5rQ2fHRh9gNq16OxGIGHqRSabDKkKGm&#10;16tylS5cZLQM6DsldU03efwmJ0SSH0ybLgcm1bTHAsrMrCPRiXIYm5HIdpYkitBAe0IZHEw2w2eB&#10;mx7cL0oGtFhN/c8Dc4IS9cmglNfFchk9mYLlal1i4C4zzWWGGY5QNQ2UTNu7kHw8Ub5FyTuZ1Hjt&#10;ZG4ZrZNEmm0evXkZp1Ovj3H3GwAA//8DAFBLAwQUAAYACAAAACEApbSETd4AAAAKAQAADwAAAGRy&#10;cy9kb3ducmV2LnhtbEyPwU7DMAyG70i8Q2QkbiyhwJaVuhMCcQVtwKTdssZrKxqnarK1vD3ZCW62&#10;/On39xeryXXiRENoPSPczhQI4srblmuEz4/XGw0iRMPWdJ4J4YcCrMrLi8Lk1o+8ptMm1iKFcMgN&#10;QhNjn0sZqoacCTPfE6fbwQ/OxLQOtbSDGVO462Sm1Fw603L60JienhuqvjdHh/D1dtht79V7/eIe&#10;+tFPSrJbSsTrq+npEUSkKf7BcNZP6lAmp70/sg2iQ9BKZwlFyO4WIM6A0jpNe4T5YgmyLOT/CuUv&#10;AAAA//8DAFBLAQItABQABgAIAAAAIQC2gziS/gAAAOEBAAATAAAAAAAAAAAAAAAAAAAAAABbQ29u&#10;dGVudF9UeXBlc10ueG1sUEsBAi0AFAAGAAgAAAAhADj9If/WAAAAlAEAAAsAAAAAAAAAAAAAAAAA&#10;LwEAAF9yZWxzLy5yZWxzUEsBAi0AFAAGAAgAAAAhAOKp7lD6AQAA1AMAAA4AAAAAAAAAAAAAAAAA&#10;LgIAAGRycy9lMm9Eb2MueG1sUEsBAi0AFAAGAAgAAAAhAKW0hE3eAAAACgEAAA8AAAAAAAAAAAAA&#10;AAAAVAQAAGRycy9kb3ducmV2LnhtbFBLBQYAAAAABAAEAPMAAABfBQAAAAA=&#10;" filled="f" stroked="f">
              <v:textbox>
                <w:txbxContent>
                  <w:p w14:paraId="64D6E6FF" w14:textId="1E87AABF" w:rsidR="00795E68" w:rsidRPr="000F3CF4" w:rsidRDefault="00000000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2" w:history="1">
                      <w:r w:rsidR="00795E68" w:rsidRPr="000F3CF4">
                        <w:rPr>
                          <w:rStyle w:val="Hyperlink"/>
                          <w:color w:val="FFFFFF" w:themeColor="background1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30468904" wp14:editId="2CA28821">
              <wp:simplePos x="0" y="0"/>
              <wp:positionH relativeFrom="column">
                <wp:posOffset>1264920</wp:posOffset>
              </wp:positionH>
              <wp:positionV relativeFrom="paragraph">
                <wp:posOffset>179070</wp:posOffset>
              </wp:positionV>
              <wp:extent cx="2514600" cy="242570"/>
              <wp:effectExtent l="0" t="0" r="0" b="508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00DEC0" w14:textId="182DEB3A" w:rsidR="00795E68" w:rsidRPr="00794C3D" w:rsidRDefault="00795E68">
                          <w:pP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</w:pPr>
                          <w:r w:rsidRPr="00794C3D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Copyright © </w:t>
                          </w:r>
                          <w: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202</w:t>
                          </w:r>
                          <w:r w:rsidR="00D46982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2</w:t>
                          </w:r>
                          <w:r w:rsidRPr="00794C3D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PRI Association All Rights Reserved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468904" id="Text Box 14" o:spid="_x0000_s1032" type="#_x0000_t202" style="position:absolute;margin-left:99.6pt;margin-top:14.1pt;width:198pt;height:19.1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gbGwIAADMEAAAOAAAAZHJzL2Uyb0RvYy54bWysU01vGyEQvVfqf0Dc611vbSddeR25iVxV&#10;ipJITpUzZsG7EjAUsHfdX9+B9ZfSnqpeYGCG+XjvMb/rtSJ74XwLpqLjUU6JMBzq1mwr+uN19emW&#10;Eh+YqZkCIyp6EJ7eLT5+mHe2FAU0oGrhCCYxvuxsRZsQbJllnjdCMz8CKww6JTjNAh7dNqsd6zC7&#10;VlmR57OsA1dbB1x4j7cPg5MuUn4pBQ/PUnoRiKoo9hbS6tK6iWu2mLNy65htWn5sg/1DF5q1Boue&#10;Uz2wwMjOtX+k0i134EGGEQedgZQtF2kGnGacv5tm3TAr0iwIjrdnmPz/S8uf9mv74kjov0KPBEZA&#10;OutLj5dxnl46HXfslKAfITycYRN9IBwvi+l4MsvRxdFXTIrpTcI1u7y2zodvAjSJRkUd0pLQYvtH&#10;H7Aihp5CYjEDq1apRI0ypKvo7PM0Tw/OHnyhDD689Bqt0G960tbYxWmODdQHHM/BwLy3fNViD4/M&#10;hxfmkGpsG+UbnnGRCrAWHC1KGnC//nYf45EB9FLSoXQq6n/umBOUqO8Gufkynkyi1tJhMr0p8OCu&#10;PZtrj9npe0B1jvGjWJ7MGB/UyZQO9BuqfBmroosZjrUrGk7mfRgEjb+Ei+UyBaG6LAuPZm15TB1R&#10;jQi/9m/M2SMNAQl8gpPIWPmOjSF24GO5CyDbRFXEeUD1CD8qMzF4/EVR+tfnFHX564vfAAAA//8D&#10;AFBLAwQUAAYACAAAACEA7IKcieAAAAAJAQAADwAAAGRycy9kb3ducmV2LnhtbEyPQU+DQBCF7yb+&#10;h82YeLOLRAggS9OQNCZGD629eFtgCsTdWWS3LfrrHU96mnl5L2++KdeLNeKMsx8dKbhfRSCQWteN&#10;1Cs4vG3vMhA+aOq0cYQKvtDDurq+KnXRuQvt8LwPveAS8oVWMIQwFVL6dkCr/cpNSOwd3Wx1YDn3&#10;spv1hcutkXEUpdLqkfjCoCesB2w/9ier4LnevupdE9vs29RPL8fN9Hl4T5S6vVk2jyACLuEvDL/4&#10;jA4VMzXuRJ0XhnWexxxVEGc8OZDkCS+NgjR9AFmV8v8H1Q8AAAD//wMAUEsBAi0AFAAGAAgAAAAh&#10;ALaDOJL+AAAA4QEAABMAAAAAAAAAAAAAAAAAAAAAAFtDb250ZW50X1R5cGVzXS54bWxQSwECLQAU&#10;AAYACAAAACEAOP0h/9YAAACUAQAACwAAAAAAAAAAAAAAAAAvAQAAX3JlbHMvLnJlbHNQSwECLQAU&#10;AAYACAAAACEAkEiYGxsCAAAzBAAADgAAAAAAAAAAAAAAAAAuAgAAZHJzL2Uyb0RvYy54bWxQSwEC&#10;LQAUAAYACAAAACEA7IKcieAAAAAJAQAADwAAAAAAAAAAAAAAAAB1BAAAZHJzL2Rvd25yZXYueG1s&#10;UEsFBgAAAAAEAAQA8wAAAIIFAAAAAA==&#10;" filled="f" stroked="f" strokeweight=".5pt">
              <v:textbox>
                <w:txbxContent>
                  <w:p w14:paraId="2600DEC0" w14:textId="182DEB3A" w:rsidR="00795E68" w:rsidRPr="00794C3D" w:rsidRDefault="00795E68">
                    <w:pPr>
                      <w:rPr>
                        <w:color w:val="FFFFFF" w:themeColor="background1"/>
                        <w:sz w:val="14"/>
                        <w:szCs w:val="14"/>
                      </w:rPr>
                    </w:pPr>
                    <w:r w:rsidRPr="00794C3D">
                      <w:rPr>
                        <w:color w:val="FFFFFF" w:themeColor="background1"/>
                        <w:sz w:val="14"/>
                        <w:szCs w:val="14"/>
                      </w:rPr>
                      <w:t xml:space="preserve">Copyright © </w:t>
                    </w:r>
                    <w:r>
                      <w:rPr>
                        <w:color w:val="FFFFFF" w:themeColor="background1"/>
                        <w:sz w:val="14"/>
                        <w:szCs w:val="14"/>
                      </w:rPr>
                      <w:t>202</w:t>
                    </w:r>
                    <w:r w:rsidR="00D46982">
                      <w:rPr>
                        <w:color w:val="FFFFFF" w:themeColor="background1"/>
                        <w:sz w:val="14"/>
                        <w:szCs w:val="14"/>
                      </w:rPr>
                      <w:t>2</w:t>
                    </w:r>
                    <w:r w:rsidRPr="00794C3D">
                      <w:rPr>
                        <w:color w:val="FFFFFF" w:themeColor="background1"/>
                        <w:sz w:val="14"/>
                        <w:szCs w:val="14"/>
                      </w:rPr>
                      <w:t xml:space="preserve"> PRI Association All Rights Reserved</w:t>
                    </w:r>
                  </w:p>
                </w:txbxContent>
              </v:textbox>
            </v:shape>
          </w:pict>
        </mc:Fallback>
      </mc:AlternateContent>
    </w:r>
    <w:r w:rsidRPr="000F3CF4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05849E73" wp14:editId="75896E4D">
              <wp:simplePos x="0" y="0"/>
              <wp:positionH relativeFrom="page">
                <wp:posOffset>-55245</wp:posOffset>
              </wp:positionH>
              <wp:positionV relativeFrom="paragraph">
                <wp:posOffset>-69166</wp:posOffset>
              </wp:positionV>
              <wp:extent cx="10753725" cy="657225"/>
              <wp:effectExtent l="0" t="0" r="952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769550" w14:textId="77777777" w:rsidR="00795E68" w:rsidRDefault="00795E68" w:rsidP="00621D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5849E73" id="Rectangle 10" o:spid="_x0000_s1033" style="position:absolute;margin-left:-4.35pt;margin-top:-5.45pt;width:846.75pt;height:51.75pt;z-index:251658245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1phwIAAHIFAAAOAAAAZHJzL2Uyb0RvYy54bWysVE1v2zAMvQ/YfxB0X+2kTbMFdYogRYcB&#10;RRusHXpWZCk2IIsapcTJfv0o2XG6tthhWA4OJT4+fojk1fW+MWyn0NdgCz46yzlTVkJZ203Bfzzd&#10;fvrMmQ/ClsKAVQU/KM+v5x8/XLVupsZQgSkVMiKxfta6glchuFmWeVmpRvgzcMqSUgM2ItARN1mJ&#10;oiX2xmTjPL/MWsDSIUjlPd3edEo+T/xaKxketPYqMFNwii2kL6bvOn6z+ZWYbVC4qpZ9GOIfomhE&#10;bcnpQHUjgmBbrN9QNbVE8KDDmYQmA61rqVIOlM0of5XNYyWcSrlQcbwbyuT/H6283z26FVIZWudn&#10;nsSYxV5jE/8pPrZPxToMxVL7wCRdjvLp5Hw6nnAmSXk5mY5JJp7sZO7Qh68KGhaFgiO9RiqS2N35&#10;0EGPkOjNg6nL29qYdMDNemmQ7UR8uXyaL9NjEfsfMGMj2EI06xjjTXZKJknhYFTEGftdaVaXFP44&#10;RZL6TA1+hJTKhlGnqkSpOveTnH59boNFyjQRRmZN/gfuniD28FvuLsoeH01VatPBOP9bYJ3xYJE8&#10;gw2DcVNbwPcIDGXVe+7wxyJ1pYlVCvv1nmpT8POIjDdrKA8rZAjd2Hgnb2t6yTvhw0ogzQlNFM1+&#10;eKCPNtAWHHqJswrw13v3EU/tS1rOWpq7gvufW4GKM/PNUmN/GV1cxEFNhwvqKjrgS836pcZumyVQ&#10;g4xoyziZxIgP5ihqhOaZVsQieiWVsJJ8F1wGPB6WodsHtGSkWiwSjIbTiXBnH52M5LHOsVOf9s8C&#10;Xd/OgSbhHo4zKmavurrDRksLi20AXaeWP9W1fwEa7NRK/RKKm+PlOaFOq3L+GwAA//8DAFBLAwQU&#10;AAYACAAAACEArSDcGuIAAAAKAQAADwAAAGRycy9kb3ducmV2LnhtbEyPwU7DMAyG70i8Q2QkLmhL&#10;N02lK00nQAIuDMQ2oR2zxmsLjVMl2VbeHu8EJ8vyp9/fXywG24kj+tA6UjAZJyCQKmdaqhVs1k+j&#10;DESImozuHKGCHwywKC8vCp0bd6IPPK5iLTiEQq4VNDH2uZShatDqMHY9Et/2zlsdefW1NF6fONx2&#10;cpokqbS6Jf7Q6B4fG6y+VwerYLtZL2cP/v1ru39+/UzdG76E+kap66vh/g5ExCH+wXDWZ3Uo2Wnn&#10;DmSC6BSMslsmeU6SOYgzkGYzLrNTMJ+mIMtC/q9Q/gIAAP//AwBQSwECLQAUAAYACAAAACEAtoM4&#10;kv4AAADhAQAAEwAAAAAAAAAAAAAAAAAAAAAAW0NvbnRlbnRfVHlwZXNdLnhtbFBLAQItABQABgAI&#10;AAAAIQA4/SH/1gAAAJQBAAALAAAAAAAAAAAAAAAAAC8BAABfcmVscy8ucmVsc1BLAQItABQABgAI&#10;AAAAIQBIeU1phwIAAHIFAAAOAAAAAAAAAAAAAAAAAC4CAABkcnMvZTJvRG9jLnhtbFBLAQItABQA&#10;BgAIAAAAIQCtINwa4gAAAAoBAAAPAAAAAAAAAAAAAAAAAOEEAABkcnMvZG93bnJldi54bWxQSwUG&#10;AAAAAAQABADzAAAA8AUAAAAA&#10;" fillcolor="#0070c0" stroked="f" strokeweight="1pt">
              <v:textbox>
                <w:txbxContent>
                  <w:p w14:paraId="6B769550" w14:textId="77777777" w:rsidR="00795E68" w:rsidRDefault="00795E68" w:rsidP="00621DCE">
                    <w:pPr>
                      <w:jc w:val="center"/>
                    </w:pPr>
                  </w:p>
                </w:txbxContent>
              </v:textbox>
              <w10:wrap anchorx="page"/>
            </v:rect>
          </w:pict>
        </mc:Fallback>
      </mc:AlternateContent>
    </w:r>
    <w:r w:rsidRPr="000F3CF4">
      <w:rPr>
        <w:noProof/>
        <w:lang w:val="en-US"/>
      </w:rPr>
      <w:drawing>
        <wp:anchor distT="0" distB="0" distL="114300" distR="114300" simplePos="0" relativeHeight="251658247" behindDoc="0" locked="0" layoutInCell="1" allowOverlap="1" wp14:anchorId="2144A5CC" wp14:editId="2E5348CB">
          <wp:simplePos x="0" y="0"/>
          <wp:positionH relativeFrom="margin">
            <wp:posOffset>-64770</wp:posOffset>
          </wp:positionH>
          <wp:positionV relativeFrom="paragraph">
            <wp:posOffset>142875</wp:posOffset>
          </wp:positionV>
          <wp:extent cx="1152525" cy="250190"/>
          <wp:effectExtent l="0" t="0" r="9525" b="0"/>
          <wp:wrapNone/>
          <wp:docPr id="225" name="Pictur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BE47" w14:textId="45892385" w:rsidR="00795E68" w:rsidRDefault="00795E68">
    <w:pPr>
      <w:pStyle w:val="Footer"/>
    </w:pPr>
    <w:r>
      <w:rPr>
        <w:noProof/>
        <w:lang w:val="en-US"/>
      </w:rPr>
      <w:drawing>
        <wp:anchor distT="0" distB="0" distL="114300" distR="114300" simplePos="0" relativeHeight="251658244" behindDoc="0" locked="0" layoutInCell="1" allowOverlap="1" wp14:anchorId="1737016D" wp14:editId="76BA39BA">
          <wp:simplePos x="0" y="0"/>
          <wp:positionH relativeFrom="margin">
            <wp:posOffset>-57150</wp:posOffset>
          </wp:positionH>
          <wp:positionV relativeFrom="paragraph">
            <wp:posOffset>128905</wp:posOffset>
          </wp:positionV>
          <wp:extent cx="1152525" cy="250263"/>
          <wp:effectExtent l="0" t="0" r="0" b="0"/>
          <wp:wrapNone/>
          <wp:docPr id="227" name="Picture 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B18AA66" wp14:editId="63EF2F0D">
              <wp:simplePos x="0" y="0"/>
              <wp:positionH relativeFrom="column">
                <wp:posOffset>5579745</wp:posOffset>
              </wp:positionH>
              <wp:positionV relativeFrom="paragraph">
                <wp:posOffset>112395</wp:posOffset>
              </wp:positionV>
              <wp:extent cx="3220720" cy="280670"/>
              <wp:effectExtent l="0" t="0" r="0" b="508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072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37A2A2" w14:textId="68BA7019" w:rsidR="00795E68" w:rsidRPr="000F3CF4" w:rsidRDefault="00000000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2" w:history="1">
                            <w:r w:rsidR="00795E68" w:rsidRPr="000F3CF4">
                              <w:rPr>
                                <w:rStyle w:val="Hyperlink"/>
                                <w:color w:val="FFFFFF" w:themeColor="background1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18AA66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4" type="#_x0000_t202" style="position:absolute;margin-left:439.35pt;margin-top:8.85pt;width:253.6pt;height:22.1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5qf+wEAANQDAAAOAAAAZHJzL2Uyb0RvYy54bWysU11v2yAUfZ+0/4B4X+x4SZtaIVXXrtOk&#10;7kNq9wMIxjEacBmQ2Nmv3wW7abS9VfMDAq7vufece1hfD0aTg/RBgWV0PispkVZAo+yO0R9P9+9W&#10;lITIbcM1WMnoUQZ6vXn7Zt27WlbQgW6kJwhiQ907RrsYXV0UQXTS8DADJy0GW/CGRzz6XdF43iO6&#10;0UVVlhdFD75xHoQMAW/vxiDdZPy2lSJ+a9sgI9GMYm8xrz6v27QWmzWvd567TompDf6KLgxXFoue&#10;oO545GTv1T9QRgkPAdo4E2AKaFslZOaAbOblX2weO+5k5oLiBHeSKfw/WPH18Oi+exKHDzDgADOJ&#10;4B5A/AzEwm3H7U7eeA99J3mDhedJsqJ3oZ5Sk9ShDglk23+BBofM9xEy0NB6k1RBngTRcQDHk+hy&#10;iETg5fuqKi8rDAmMVavy4jJPpeD1c7bzIX6SYEjaMOpxqBmdHx5CTN3w+vmXVMzCvdI6D1Zb0jN6&#10;tayWOeEsYlRE32llGF2V6RudkEh+tE1OjlzpcY8FtJ1YJ6Ij5ThsB6IaRhcpN4mwheaIMngYbYbP&#10;Ajcd+N+U9GgxRsOvPfeSEv3ZopRX88UieTIfFsssgj+PbM8j3AqEYjRSMm5vY/bxSPkGJW9VVuOl&#10;k6lltE4WabJ58ub5Of/18hg3fwAAAP//AwBQSwMEFAAGAAgAAAAhANEyePTeAAAACgEAAA8AAABk&#10;cnMvZG93bnJldi54bWxMj8tOwzAQRfdI/IM1SOyo3UKbB3EqBGJbRHlI7Nx4mkSNx1HsNuHvO13B&#10;ajS6R3fOFOvJdeKEQ2g9aZjPFAikytuWag2fH693KYgQDVnTeUINvxhgXV5fFSa3fqR3PG1jLbiE&#10;Qm40NDH2uZShatCZMPM9Emd7PzgTeR1qaQczcrnr5EKplXSmJb7QmB6fG6wO26PT8LXZ/3w/qLf6&#10;xS370U9Kksuk1rc309MjiIhT/IPhos/qULLTzh/JBtFpSJM0YZSDhOcFuE+XGYidhtU8A1kW8v8L&#10;5RkAAP//AwBQSwECLQAUAAYACAAAACEAtoM4kv4AAADhAQAAEwAAAAAAAAAAAAAAAAAAAAAAW0Nv&#10;bnRlbnRfVHlwZXNdLnhtbFBLAQItABQABgAIAAAAIQA4/SH/1gAAAJQBAAALAAAAAAAAAAAAAAAA&#10;AC8BAABfcmVscy8ucmVsc1BLAQItABQABgAIAAAAIQAe15qf+wEAANQDAAAOAAAAAAAAAAAAAAAA&#10;AC4CAABkcnMvZTJvRG9jLnhtbFBLAQItABQABgAIAAAAIQDRMnj03gAAAAoBAAAPAAAAAAAAAAAA&#10;AAAAAFUEAABkcnMvZG93bnJldi54bWxQSwUGAAAAAAQABADzAAAAYAUAAAAA&#10;" filled="f" stroked="f">
              <v:textbox>
                <w:txbxContent>
                  <w:p w14:paraId="7937A2A2" w14:textId="68BA7019" w:rsidR="00795E68" w:rsidRPr="000F3CF4" w:rsidRDefault="00000000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3" w:history="1">
                      <w:r w:rsidR="00795E68" w:rsidRPr="000F3CF4">
                        <w:rPr>
                          <w:rStyle w:val="Hyperlink"/>
                          <w:color w:val="FFFFFF" w:themeColor="background1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6AF83C7" wp14:editId="47A1CC26">
              <wp:simplePos x="0" y="0"/>
              <wp:positionH relativeFrom="page">
                <wp:posOffset>-28576</wp:posOffset>
              </wp:positionH>
              <wp:positionV relativeFrom="paragraph">
                <wp:posOffset>-78105</wp:posOffset>
              </wp:positionV>
              <wp:extent cx="10753725" cy="657225"/>
              <wp:effectExtent l="0" t="0" r="952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B5BC1C4" id="Rectangle 1" o:spid="_x0000_s1026" style="position:absolute;margin-left:-2.25pt;margin-top:-6.15pt;width:846.75pt;height:51.75pt;z-index:25165824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h1fAIAAGAFAAAOAAAAZHJzL2Uyb0RvYy54bWysVE1v2zAMvQ/YfxB0X+1kTbMFdYogRYcB&#10;RRu0HXpWZCk2IIsapcTJfv0o2XG6tthhmA8yJZKPH3rU5dW+MWyn0NdgCz46yzlTVkJZ203Bfzzd&#10;fPrCmQ/ClsKAVQU/KM+v5h8/XLZupsZQgSkVMgKxfta6glchuFmWeVmpRvgzcMqSUgM2ItAWN1mJ&#10;oiX0xmTjPL/IWsDSIUjlPZ1ed0o+T/haKxnutfYqMFNwyi2kFdO6jms2vxSzDQpX1bJPQ/xDFo2o&#10;LQUdoK5FEGyL9RuoppYIHnQ4k9BkoHUtVaqBqhnlr6p5rIRTqRZqjndDm/z/g5V3u0e3QmpD6/zM&#10;kxir2Gts4p/yY/vUrMPQLLUPTNLhKJ9OPk/HE84kKS8m0zHJhJOd3B368E1Bw6JQcKTbSE0Su1sf&#10;OtOjSYzmwdTlTW1M2uBmvTTIdiLeXD7Nl+myCP0PM2OjsYXo1iHGk+xUTJLCwahoZ+yD0qwuKf1x&#10;yiTxTA1xhJTKhlGnqkSpuvCTnL6+tsEjVZoAI7Km+AN2DxA5/Ba7y7K3j64q0XRwzv+WWOc8eKTI&#10;YMPg3NQW8D0AQ1X1kTv7Y5O61sQuraE8rJAhdEPinbyp6d5uhQ8rgTQVND806eGeFm2gLTj0EmcV&#10;4K/3zqM9kZW0nLU0ZQX3P7cCFWfmuyUafx2dn8exTJtz4hBt8KVm/VJjt80SiA4jelOcTGK0D+Yo&#10;aoTmmR6ERYxKKmElxS64DHjcLEM3/fSkSLVYJDMaRSfCrX10MoLHrkZePu2fBbqevIF4fwfHiRSz&#10;VxzubKOnhcU2gK4TwU997ftNY5yI0z858Z14uU9Wp4dx/hsAAP//AwBQSwMEFAAGAAgAAAAhAFNk&#10;KS7jAAAACgEAAA8AAABkcnMvZG93bnJldi54bWxMj8tOwzAQRfdI/IM1SGxQ6ySUqA1xKkACNjzU&#10;h6ou3XiaBOJxFLtt+HumK1iNRnN059x8PthWHLH3jSMF8TgCgVQ601ClYL16Hk1B+KDJ6NYRKvhB&#10;D/Pi8iLXmXEnWuBxGSrBIeQzraAOocuk9GWNVvux65D4tne91YHXvpKm1ycOt61MoiiVVjfEH2rd&#10;4VON5ffyYBVs16v3yWP/+bXdv7xtUveBr766Uer6ani4BxFwCH8wnPVZHQp22rkDGS9aBaPJHZM8&#10;4+QWxBlIpzNut1MwixOQRS7/Vyh+AQAA//8DAFBLAQItABQABgAIAAAAIQC2gziS/gAAAOEBAAAT&#10;AAAAAAAAAAAAAAAAAAAAAABbQ29udGVudF9UeXBlc10ueG1sUEsBAi0AFAAGAAgAAAAhADj9If/W&#10;AAAAlAEAAAsAAAAAAAAAAAAAAAAALwEAAF9yZWxzLy5yZWxzUEsBAi0AFAAGAAgAAAAhACQ02HV8&#10;AgAAYAUAAA4AAAAAAAAAAAAAAAAALgIAAGRycy9lMm9Eb2MueG1sUEsBAi0AFAAGAAgAAAAhAFNk&#10;KS7jAAAACgEAAA8AAAAAAAAAAAAAAAAA1gQAAGRycy9kb3ducmV2LnhtbFBLBQYAAAAABAAEAPMA&#10;AADmBQAAAAA=&#10;" fillcolor="#0070c0" stroked="f" strokeweight="1pt">
              <w10:wrap anchorx="page"/>
            </v:rect>
          </w:pict>
        </mc:Fallback>
      </mc:AlternateContent>
    </w:r>
    <w:r w:rsidRPr="00A27FF8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A34F176" wp14:editId="4C1FF676">
          <wp:simplePos x="0" y="0"/>
          <wp:positionH relativeFrom="page">
            <wp:posOffset>8255</wp:posOffset>
          </wp:positionH>
          <wp:positionV relativeFrom="page">
            <wp:posOffset>9783445</wp:posOffset>
          </wp:positionV>
          <wp:extent cx="2919095" cy="881380"/>
          <wp:effectExtent l="0" t="0" r="0" b="0"/>
          <wp:wrapNone/>
          <wp:docPr id="228" name="Pictur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2014 -Address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095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7FF8"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013EE85C" wp14:editId="6564BC94">
          <wp:simplePos x="0" y="0"/>
          <wp:positionH relativeFrom="page">
            <wp:posOffset>3590265</wp:posOffset>
          </wp:positionH>
          <wp:positionV relativeFrom="page">
            <wp:posOffset>9648825</wp:posOffset>
          </wp:positionV>
          <wp:extent cx="3972833" cy="881999"/>
          <wp:effectExtent l="0" t="0" r="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 2014 -Partnership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833" cy="88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7B373" w14:textId="77777777" w:rsidR="00000D39" w:rsidRDefault="00000D39" w:rsidP="00A27FF8">
      <w:pPr>
        <w:spacing w:line="240" w:lineRule="auto"/>
      </w:pPr>
      <w:r>
        <w:separator/>
      </w:r>
    </w:p>
  </w:footnote>
  <w:footnote w:type="continuationSeparator" w:id="0">
    <w:p w14:paraId="7CDE351A" w14:textId="77777777" w:rsidR="00000D39" w:rsidRDefault="00000D39" w:rsidP="00A27FF8">
      <w:pPr>
        <w:spacing w:line="240" w:lineRule="auto"/>
      </w:pPr>
      <w:r>
        <w:continuationSeparator/>
      </w:r>
    </w:p>
  </w:footnote>
  <w:footnote w:type="continuationNotice" w:id="1">
    <w:p w14:paraId="14C5A14B" w14:textId="77777777" w:rsidR="00000D39" w:rsidRDefault="00000D3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89C3712"/>
    <w:lvl w:ilvl="0">
      <w:start w:val="1"/>
      <w:numFmt w:val="bullet"/>
      <w:pStyle w:val="ListBullet2"/>
      <w:lvlText w:val=""/>
      <w:lvlJc w:val="left"/>
      <w:pPr>
        <w:tabs>
          <w:tab w:val="num" w:pos="283"/>
        </w:tabs>
        <w:ind w:left="283" w:hanging="360"/>
      </w:pPr>
      <w:rPr>
        <w:rFonts w:ascii="Symbol" w:hAnsi="Symbol" w:hint="default"/>
      </w:rPr>
    </w:lvl>
  </w:abstractNum>
  <w:abstractNum w:abstractNumId="1" w15:restartNumberingAfterBreak="0">
    <w:nsid w:val="01124C13"/>
    <w:multiLevelType w:val="hybridMultilevel"/>
    <w:tmpl w:val="ED987B30"/>
    <w:lvl w:ilvl="0" w:tplc="83827EDE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07C86"/>
    <w:multiLevelType w:val="hybridMultilevel"/>
    <w:tmpl w:val="0284F732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EF4B06"/>
    <w:multiLevelType w:val="hybridMultilevel"/>
    <w:tmpl w:val="C0DEA0A4"/>
    <w:lvl w:ilvl="0" w:tplc="3418F68C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82D65"/>
    <w:multiLevelType w:val="hybridMultilevel"/>
    <w:tmpl w:val="6AB65C82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BE683D"/>
    <w:multiLevelType w:val="hybridMultilevel"/>
    <w:tmpl w:val="885CC8FC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CC6663"/>
    <w:multiLevelType w:val="hybridMultilevel"/>
    <w:tmpl w:val="620267E0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153173"/>
    <w:multiLevelType w:val="hybridMultilevel"/>
    <w:tmpl w:val="395E1DB4"/>
    <w:lvl w:ilvl="0" w:tplc="D65AECC6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77DDB"/>
    <w:multiLevelType w:val="hybridMultilevel"/>
    <w:tmpl w:val="2038595C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829333B"/>
    <w:multiLevelType w:val="hybridMultilevel"/>
    <w:tmpl w:val="462C72FC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B77158A"/>
    <w:multiLevelType w:val="hybridMultilevel"/>
    <w:tmpl w:val="87F2BDF8"/>
    <w:lvl w:ilvl="0" w:tplc="5D841A4C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530105"/>
    <w:multiLevelType w:val="hybridMultilevel"/>
    <w:tmpl w:val="9CFAA506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1B076E"/>
    <w:multiLevelType w:val="hybridMultilevel"/>
    <w:tmpl w:val="B3AC5DBC"/>
    <w:lvl w:ilvl="0" w:tplc="926E01E2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F850A31"/>
    <w:multiLevelType w:val="hybridMultilevel"/>
    <w:tmpl w:val="4D08C25E"/>
    <w:lvl w:ilvl="0" w:tplc="034855AE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413D8D"/>
    <w:multiLevelType w:val="multilevel"/>
    <w:tmpl w:val="EF66BDB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70C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27E24ED"/>
    <w:multiLevelType w:val="hybridMultilevel"/>
    <w:tmpl w:val="BB6E0502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4261F1E"/>
    <w:multiLevelType w:val="hybridMultilevel"/>
    <w:tmpl w:val="027824F4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50B7E83"/>
    <w:multiLevelType w:val="hybridMultilevel"/>
    <w:tmpl w:val="9B2C6CB8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5C677BD"/>
    <w:multiLevelType w:val="hybridMultilevel"/>
    <w:tmpl w:val="D88062F4"/>
    <w:lvl w:ilvl="0" w:tplc="B568EE14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70F5048"/>
    <w:multiLevelType w:val="hybridMultilevel"/>
    <w:tmpl w:val="CCEC133C"/>
    <w:lvl w:ilvl="0" w:tplc="66380E7A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7164D1E"/>
    <w:multiLevelType w:val="hybridMultilevel"/>
    <w:tmpl w:val="588ED61A"/>
    <w:lvl w:ilvl="0" w:tplc="08090001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8035EF9"/>
    <w:multiLevelType w:val="hybridMultilevel"/>
    <w:tmpl w:val="31D64C9A"/>
    <w:lvl w:ilvl="0" w:tplc="37F66234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021308"/>
    <w:multiLevelType w:val="hybridMultilevel"/>
    <w:tmpl w:val="B03466D8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B3C7FE6"/>
    <w:multiLevelType w:val="hybridMultilevel"/>
    <w:tmpl w:val="B694FEC0"/>
    <w:lvl w:ilvl="0" w:tplc="B7D02D26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C435BB9"/>
    <w:multiLevelType w:val="hybridMultilevel"/>
    <w:tmpl w:val="B19E8CD0"/>
    <w:lvl w:ilvl="0" w:tplc="79B4866C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C982CFA"/>
    <w:multiLevelType w:val="hybridMultilevel"/>
    <w:tmpl w:val="7E04C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BC71F8"/>
    <w:multiLevelType w:val="hybridMultilevel"/>
    <w:tmpl w:val="2F927402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F303863"/>
    <w:multiLevelType w:val="hybridMultilevel"/>
    <w:tmpl w:val="FFBEDFF4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EB1BDE"/>
    <w:multiLevelType w:val="hybridMultilevel"/>
    <w:tmpl w:val="952ADA22"/>
    <w:lvl w:ilvl="0" w:tplc="CB561C70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36BD9"/>
    <w:multiLevelType w:val="hybridMultilevel"/>
    <w:tmpl w:val="BD2EFE9A"/>
    <w:lvl w:ilvl="0" w:tplc="1A0696A6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22C18D3"/>
    <w:multiLevelType w:val="hybridMultilevel"/>
    <w:tmpl w:val="54466304"/>
    <w:lvl w:ilvl="0" w:tplc="07BE8756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321C42"/>
    <w:multiLevelType w:val="hybridMultilevel"/>
    <w:tmpl w:val="FBD4AC16"/>
    <w:lvl w:ilvl="0" w:tplc="926E01E2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44E719A"/>
    <w:multiLevelType w:val="hybridMultilevel"/>
    <w:tmpl w:val="2E0C03BA"/>
    <w:lvl w:ilvl="0" w:tplc="6256F014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9F278A"/>
    <w:multiLevelType w:val="hybridMultilevel"/>
    <w:tmpl w:val="5636E48C"/>
    <w:lvl w:ilvl="0" w:tplc="599080AE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55156BE"/>
    <w:multiLevelType w:val="hybridMultilevel"/>
    <w:tmpl w:val="DA5457C4"/>
    <w:lvl w:ilvl="0" w:tplc="81A4DC7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70D50E4"/>
    <w:multiLevelType w:val="hybridMultilevel"/>
    <w:tmpl w:val="FB98B2F8"/>
    <w:lvl w:ilvl="0" w:tplc="6C685E26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AAA6CD0"/>
    <w:multiLevelType w:val="hybridMultilevel"/>
    <w:tmpl w:val="79A8A1EE"/>
    <w:lvl w:ilvl="0" w:tplc="080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7" w15:restartNumberingAfterBreak="0">
    <w:nsid w:val="2B2279B8"/>
    <w:multiLevelType w:val="hybridMultilevel"/>
    <w:tmpl w:val="C7127B80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BED5911"/>
    <w:multiLevelType w:val="hybridMultilevel"/>
    <w:tmpl w:val="4F60705A"/>
    <w:lvl w:ilvl="0" w:tplc="96ACE120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F85942"/>
    <w:multiLevelType w:val="hybridMultilevel"/>
    <w:tmpl w:val="F77E29B2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EE131BA"/>
    <w:multiLevelType w:val="hybridMultilevel"/>
    <w:tmpl w:val="BD747C1C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BD7BFA"/>
    <w:multiLevelType w:val="hybridMultilevel"/>
    <w:tmpl w:val="B2387A32"/>
    <w:lvl w:ilvl="0" w:tplc="6BAE73C6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422549"/>
    <w:multiLevelType w:val="hybridMultilevel"/>
    <w:tmpl w:val="557CDA5E"/>
    <w:lvl w:ilvl="0" w:tplc="D902DAD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5A52B30"/>
    <w:multiLevelType w:val="hybridMultilevel"/>
    <w:tmpl w:val="7FA68924"/>
    <w:lvl w:ilvl="0" w:tplc="A296F2FA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7044B6F"/>
    <w:multiLevelType w:val="hybridMultilevel"/>
    <w:tmpl w:val="565EEB50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72F4722"/>
    <w:multiLevelType w:val="hybridMultilevel"/>
    <w:tmpl w:val="59C0B774"/>
    <w:lvl w:ilvl="0" w:tplc="BB14A38A">
      <w:start w:val="1"/>
      <w:numFmt w:val="bullet"/>
      <w:pStyle w:val="Bullestlist2"/>
      <w:lvlText w:val="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7795619"/>
    <w:multiLevelType w:val="hybridMultilevel"/>
    <w:tmpl w:val="2A9E3374"/>
    <w:lvl w:ilvl="0" w:tplc="5BB45B44">
      <w:start w:val="1"/>
      <w:numFmt w:val="bullet"/>
      <w:pStyle w:val="ListBullet"/>
      <w:lvlText w:val="■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D22DB9"/>
    <w:multiLevelType w:val="hybridMultilevel"/>
    <w:tmpl w:val="AB9C0D66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8C07F3"/>
    <w:multiLevelType w:val="hybridMultilevel"/>
    <w:tmpl w:val="4F667B26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390368EA"/>
    <w:multiLevelType w:val="hybridMultilevel"/>
    <w:tmpl w:val="AFBEA0B6"/>
    <w:lvl w:ilvl="0" w:tplc="00D41F80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394B2785"/>
    <w:multiLevelType w:val="hybridMultilevel"/>
    <w:tmpl w:val="F134D8BA"/>
    <w:lvl w:ilvl="0" w:tplc="6D3E5C2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422D7C"/>
    <w:multiLevelType w:val="hybridMultilevel"/>
    <w:tmpl w:val="65EEF960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ED5EA7"/>
    <w:multiLevelType w:val="hybridMultilevel"/>
    <w:tmpl w:val="0F3256C8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96B16"/>
    <w:multiLevelType w:val="hybridMultilevel"/>
    <w:tmpl w:val="D4AEB954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3EFC08A4"/>
    <w:multiLevelType w:val="hybridMultilevel"/>
    <w:tmpl w:val="CB24DF1E"/>
    <w:lvl w:ilvl="0" w:tplc="0A363AAE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F235B23"/>
    <w:multiLevelType w:val="hybridMultilevel"/>
    <w:tmpl w:val="467092B6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3FD920E0"/>
    <w:multiLevelType w:val="hybridMultilevel"/>
    <w:tmpl w:val="DBD05396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3FE56837"/>
    <w:multiLevelType w:val="hybridMultilevel"/>
    <w:tmpl w:val="A0A0855E"/>
    <w:lvl w:ilvl="0" w:tplc="D1C40596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E24FE8"/>
    <w:multiLevelType w:val="hybridMultilevel"/>
    <w:tmpl w:val="4E382E82"/>
    <w:lvl w:ilvl="0" w:tplc="94E6AD8E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42487C32"/>
    <w:multiLevelType w:val="hybridMultilevel"/>
    <w:tmpl w:val="94FE4004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43EB4FAE"/>
    <w:multiLevelType w:val="hybridMultilevel"/>
    <w:tmpl w:val="F87C42D2"/>
    <w:lvl w:ilvl="0" w:tplc="DA187A2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6171F9F"/>
    <w:multiLevelType w:val="hybridMultilevel"/>
    <w:tmpl w:val="93DA86C8"/>
    <w:lvl w:ilvl="0" w:tplc="C1705D94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992DA0"/>
    <w:multiLevelType w:val="hybridMultilevel"/>
    <w:tmpl w:val="DFDA42CE"/>
    <w:lvl w:ilvl="0" w:tplc="3F88D314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47DE4FAF"/>
    <w:multiLevelType w:val="hybridMultilevel"/>
    <w:tmpl w:val="25C8EA68"/>
    <w:lvl w:ilvl="0" w:tplc="CBE0E83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FFC000" w:themeColor="accent4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8424E6F"/>
    <w:multiLevelType w:val="hybridMultilevel"/>
    <w:tmpl w:val="75ACEB98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8AD60CE"/>
    <w:multiLevelType w:val="hybridMultilevel"/>
    <w:tmpl w:val="1FCC1C32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AB30069"/>
    <w:multiLevelType w:val="hybridMultilevel"/>
    <w:tmpl w:val="D74AE378"/>
    <w:lvl w:ilvl="0" w:tplc="2882587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CDC4F27"/>
    <w:multiLevelType w:val="hybridMultilevel"/>
    <w:tmpl w:val="65169518"/>
    <w:lvl w:ilvl="0" w:tplc="396C5014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E5A0D2C"/>
    <w:multiLevelType w:val="hybridMultilevel"/>
    <w:tmpl w:val="2312BFBA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052314F"/>
    <w:multiLevelType w:val="hybridMultilevel"/>
    <w:tmpl w:val="AA70F60E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50551BF9"/>
    <w:multiLevelType w:val="hybridMultilevel"/>
    <w:tmpl w:val="C7687648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50837BC0"/>
    <w:multiLevelType w:val="hybridMultilevel"/>
    <w:tmpl w:val="8CBEF6D6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154BEA"/>
    <w:multiLevelType w:val="hybridMultilevel"/>
    <w:tmpl w:val="72BAE6DA"/>
    <w:lvl w:ilvl="0" w:tplc="CD5CBDB2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545F75B4"/>
    <w:multiLevelType w:val="hybridMultilevel"/>
    <w:tmpl w:val="7FEC0A64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072462"/>
    <w:multiLevelType w:val="hybridMultilevel"/>
    <w:tmpl w:val="D79C14C4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5671050"/>
    <w:multiLevelType w:val="hybridMultilevel"/>
    <w:tmpl w:val="77243BF8"/>
    <w:lvl w:ilvl="0" w:tplc="F9EEEBB8">
      <w:start w:val="3"/>
      <w:numFmt w:val="decimal"/>
      <w:lvlText w:val="(%1)"/>
      <w:lvlJc w:val="left"/>
      <w:pPr>
        <w:ind w:left="360" w:hanging="360"/>
      </w:pPr>
      <w:rPr>
        <w:rFonts w:eastAsia="MS PGothic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7D601C6"/>
    <w:multiLevelType w:val="hybridMultilevel"/>
    <w:tmpl w:val="E6D6384C"/>
    <w:lvl w:ilvl="0" w:tplc="BC0247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B355A77"/>
    <w:multiLevelType w:val="hybridMultilevel"/>
    <w:tmpl w:val="2BEC6FF4"/>
    <w:lvl w:ilvl="0" w:tplc="69764BCC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5CCE1383"/>
    <w:multiLevelType w:val="hybridMultilevel"/>
    <w:tmpl w:val="2FB48A00"/>
    <w:lvl w:ilvl="0" w:tplc="987EA67E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09B56A2"/>
    <w:multiLevelType w:val="hybridMultilevel"/>
    <w:tmpl w:val="586450C8"/>
    <w:lvl w:ilvl="0" w:tplc="E75695A4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0EB5311"/>
    <w:multiLevelType w:val="hybridMultilevel"/>
    <w:tmpl w:val="E8EC3BB6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62313F59"/>
    <w:multiLevelType w:val="hybridMultilevel"/>
    <w:tmpl w:val="AF4ECE10"/>
    <w:lvl w:ilvl="0" w:tplc="6358BF76">
      <w:start w:val="1"/>
      <w:numFmt w:val="bullet"/>
      <w:pStyle w:val="Subtitle"/>
      <w:lvlText w:val="■"/>
      <w:lvlJc w:val="left"/>
      <w:pPr>
        <w:ind w:left="720" w:hanging="360"/>
      </w:pPr>
      <w:rPr>
        <w:rFonts w:ascii="Arial" w:hAnsi="Aria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356683"/>
    <w:multiLevelType w:val="hybridMultilevel"/>
    <w:tmpl w:val="BC50F598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4C01C0"/>
    <w:multiLevelType w:val="hybridMultilevel"/>
    <w:tmpl w:val="908275DA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87B115D"/>
    <w:multiLevelType w:val="hybridMultilevel"/>
    <w:tmpl w:val="0A6638A6"/>
    <w:lvl w:ilvl="0" w:tplc="9FE20B84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68955DC7"/>
    <w:multiLevelType w:val="hybridMultilevel"/>
    <w:tmpl w:val="BB065B22"/>
    <w:lvl w:ilvl="0" w:tplc="E75695A4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68B525BE"/>
    <w:multiLevelType w:val="hybridMultilevel"/>
    <w:tmpl w:val="DF008B22"/>
    <w:lvl w:ilvl="0" w:tplc="398E7456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95E0FB7"/>
    <w:multiLevelType w:val="hybridMultilevel"/>
    <w:tmpl w:val="24DA10BE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BE92860"/>
    <w:multiLevelType w:val="hybridMultilevel"/>
    <w:tmpl w:val="416C1A00"/>
    <w:lvl w:ilvl="0" w:tplc="DD8003A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C1E04FD"/>
    <w:multiLevelType w:val="hybridMultilevel"/>
    <w:tmpl w:val="2A461D26"/>
    <w:lvl w:ilvl="0" w:tplc="8DFC9740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0D155B1"/>
    <w:multiLevelType w:val="hybridMultilevel"/>
    <w:tmpl w:val="55EEF61E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110322B"/>
    <w:multiLevelType w:val="hybridMultilevel"/>
    <w:tmpl w:val="C136B4DC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72947AE5"/>
    <w:multiLevelType w:val="hybridMultilevel"/>
    <w:tmpl w:val="D2E40938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2D241D8"/>
    <w:multiLevelType w:val="hybridMultilevel"/>
    <w:tmpl w:val="602835E0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72F574F2"/>
    <w:multiLevelType w:val="hybridMultilevel"/>
    <w:tmpl w:val="5ADC2788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5312051"/>
    <w:multiLevelType w:val="hybridMultilevel"/>
    <w:tmpl w:val="E0D4E93C"/>
    <w:lvl w:ilvl="0" w:tplc="672C8C12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764914A6"/>
    <w:multiLevelType w:val="hybridMultilevel"/>
    <w:tmpl w:val="9C3E8370"/>
    <w:lvl w:ilvl="0" w:tplc="F35E1954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784004BD"/>
    <w:multiLevelType w:val="hybridMultilevel"/>
    <w:tmpl w:val="302A1D98"/>
    <w:lvl w:ilvl="0" w:tplc="92D477E0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9521039"/>
    <w:multiLevelType w:val="hybridMultilevel"/>
    <w:tmpl w:val="0C0687A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B24764D"/>
    <w:multiLevelType w:val="hybridMultilevel"/>
    <w:tmpl w:val="E35E30EE"/>
    <w:lvl w:ilvl="0" w:tplc="925C73C0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7B4C67DE"/>
    <w:multiLevelType w:val="hybridMultilevel"/>
    <w:tmpl w:val="7DCC919C"/>
    <w:lvl w:ilvl="0" w:tplc="84B6BAB0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7B677AFB"/>
    <w:multiLevelType w:val="hybridMultilevel"/>
    <w:tmpl w:val="072EC014"/>
    <w:lvl w:ilvl="0" w:tplc="52B8E6AE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7BC50240"/>
    <w:multiLevelType w:val="hybridMultilevel"/>
    <w:tmpl w:val="02CC8704"/>
    <w:lvl w:ilvl="0" w:tplc="3B06DE2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7C7025B2"/>
    <w:multiLevelType w:val="hybridMultilevel"/>
    <w:tmpl w:val="B0CC0606"/>
    <w:lvl w:ilvl="0" w:tplc="3B06DE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CF7551"/>
    <w:multiLevelType w:val="hybridMultilevel"/>
    <w:tmpl w:val="2030430C"/>
    <w:lvl w:ilvl="0" w:tplc="757A3ECE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0F0CF2"/>
    <w:multiLevelType w:val="hybridMultilevel"/>
    <w:tmpl w:val="F4C25C1C"/>
    <w:lvl w:ilvl="0" w:tplc="1496365C">
      <w:start w:val="1"/>
      <w:numFmt w:val="bullet"/>
      <w:pStyle w:val="ListBullet3"/>
      <w:lvlText w:val="■"/>
      <w:lvlJc w:val="left"/>
      <w:pPr>
        <w:tabs>
          <w:tab w:val="num" w:pos="926"/>
        </w:tabs>
        <w:ind w:left="926" w:hanging="360"/>
      </w:pPr>
      <w:rPr>
        <w:rFonts w:ascii="Arial" w:hAnsi="Arial" w:hint="default"/>
        <w:color w:val="7F7F7F" w:themeColor="text1" w:themeTint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17838">
    <w:abstractNumId w:val="46"/>
  </w:num>
  <w:num w:numId="2" w16cid:durableId="1081296983">
    <w:abstractNumId w:val="0"/>
  </w:num>
  <w:num w:numId="3" w16cid:durableId="89351147">
    <w:abstractNumId w:val="81"/>
  </w:num>
  <w:num w:numId="4" w16cid:durableId="633102545">
    <w:abstractNumId w:val="45"/>
  </w:num>
  <w:num w:numId="5" w16cid:durableId="1287735545">
    <w:abstractNumId w:val="105"/>
  </w:num>
  <w:num w:numId="6" w16cid:durableId="797918058">
    <w:abstractNumId w:val="63"/>
  </w:num>
  <w:num w:numId="7" w16cid:durableId="1904683771">
    <w:abstractNumId w:val="14"/>
  </w:num>
  <w:num w:numId="8" w16cid:durableId="1230573618">
    <w:abstractNumId w:val="12"/>
  </w:num>
  <w:num w:numId="9" w16cid:durableId="336466866">
    <w:abstractNumId w:val="74"/>
  </w:num>
  <w:num w:numId="10" w16cid:durableId="491339719">
    <w:abstractNumId w:val="82"/>
  </w:num>
  <w:num w:numId="11" w16cid:durableId="1963344697">
    <w:abstractNumId w:val="83"/>
  </w:num>
  <w:num w:numId="12" w16cid:durableId="1397703858">
    <w:abstractNumId w:val="8"/>
  </w:num>
  <w:num w:numId="13" w16cid:durableId="1063791004">
    <w:abstractNumId w:val="77"/>
  </w:num>
  <w:num w:numId="14" w16cid:durableId="1342781026">
    <w:abstractNumId w:val="80"/>
  </w:num>
  <w:num w:numId="15" w16cid:durableId="123543715">
    <w:abstractNumId w:val="88"/>
  </w:num>
  <w:num w:numId="16" w16cid:durableId="1006519333">
    <w:abstractNumId w:val="58"/>
  </w:num>
  <w:num w:numId="17" w16cid:durableId="1221945140">
    <w:abstractNumId w:val="91"/>
  </w:num>
  <w:num w:numId="18" w16cid:durableId="1152138783">
    <w:abstractNumId w:val="64"/>
  </w:num>
  <w:num w:numId="19" w16cid:durableId="886992448">
    <w:abstractNumId w:val="11"/>
  </w:num>
  <w:num w:numId="20" w16cid:durableId="1818449158">
    <w:abstractNumId w:val="29"/>
  </w:num>
  <w:num w:numId="21" w16cid:durableId="717095269">
    <w:abstractNumId w:val="68"/>
  </w:num>
  <w:num w:numId="22" w16cid:durableId="1092629888">
    <w:abstractNumId w:val="72"/>
  </w:num>
  <w:num w:numId="23" w16cid:durableId="1228110408">
    <w:abstractNumId w:val="47"/>
  </w:num>
  <w:num w:numId="24" w16cid:durableId="1001273841">
    <w:abstractNumId w:val="30"/>
  </w:num>
  <w:num w:numId="25" w16cid:durableId="1526477831">
    <w:abstractNumId w:val="24"/>
  </w:num>
  <w:num w:numId="26" w16cid:durableId="1567491354">
    <w:abstractNumId w:val="95"/>
  </w:num>
  <w:num w:numId="27" w16cid:durableId="228002810">
    <w:abstractNumId w:val="78"/>
  </w:num>
  <w:num w:numId="28" w16cid:durableId="201215337">
    <w:abstractNumId w:val="17"/>
  </w:num>
  <w:num w:numId="29" w16cid:durableId="1274631554">
    <w:abstractNumId w:val="99"/>
  </w:num>
  <w:num w:numId="30" w16cid:durableId="1182091520">
    <w:abstractNumId w:val="53"/>
  </w:num>
  <w:num w:numId="31" w16cid:durableId="1384645893">
    <w:abstractNumId w:val="85"/>
  </w:num>
  <w:num w:numId="32" w16cid:durableId="371854557">
    <w:abstractNumId w:val="101"/>
  </w:num>
  <w:num w:numId="33" w16cid:durableId="1035890587">
    <w:abstractNumId w:val="6"/>
  </w:num>
  <w:num w:numId="34" w16cid:durableId="1984776997">
    <w:abstractNumId w:val="73"/>
  </w:num>
  <w:num w:numId="35" w16cid:durableId="577442230">
    <w:abstractNumId w:val="97"/>
  </w:num>
  <w:num w:numId="36" w16cid:durableId="1743602840">
    <w:abstractNumId w:val="34"/>
  </w:num>
  <w:num w:numId="37" w16cid:durableId="352456940">
    <w:abstractNumId w:val="10"/>
  </w:num>
  <w:num w:numId="38" w16cid:durableId="2092239869">
    <w:abstractNumId w:val="41"/>
  </w:num>
  <w:num w:numId="39" w16cid:durableId="651104304">
    <w:abstractNumId w:val="3"/>
  </w:num>
  <w:num w:numId="40" w16cid:durableId="1466698617">
    <w:abstractNumId w:val="56"/>
  </w:num>
  <w:num w:numId="41" w16cid:durableId="1584221294">
    <w:abstractNumId w:val="96"/>
  </w:num>
  <w:num w:numId="42" w16cid:durableId="1156192217">
    <w:abstractNumId w:val="9"/>
  </w:num>
  <w:num w:numId="43" w16cid:durableId="2144542516">
    <w:abstractNumId w:val="16"/>
  </w:num>
  <w:num w:numId="44" w16cid:durableId="501360310">
    <w:abstractNumId w:val="5"/>
  </w:num>
  <w:num w:numId="45" w16cid:durableId="1925797781">
    <w:abstractNumId w:val="35"/>
  </w:num>
  <w:num w:numId="46" w16cid:durableId="1643578168">
    <w:abstractNumId w:val="15"/>
  </w:num>
  <w:num w:numId="47" w16cid:durableId="281690254">
    <w:abstractNumId w:val="18"/>
  </w:num>
  <w:num w:numId="48" w16cid:durableId="958609141">
    <w:abstractNumId w:val="92"/>
  </w:num>
  <w:num w:numId="49" w16cid:durableId="1023214968">
    <w:abstractNumId w:val="21"/>
  </w:num>
  <w:num w:numId="50" w16cid:durableId="199053414">
    <w:abstractNumId w:val="39"/>
  </w:num>
  <w:num w:numId="51" w16cid:durableId="364137637">
    <w:abstractNumId w:val="84"/>
  </w:num>
  <w:num w:numId="52" w16cid:durableId="126551654">
    <w:abstractNumId w:val="94"/>
  </w:num>
  <w:num w:numId="53" w16cid:durableId="814568577">
    <w:abstractNumId w:val="28"/>
  </w:num>
  <w:num w:numId="54" w16cid:durableId="2136287035">
    <w:abstractNumId w:val="55"/>
  </w:num>
  <w:num w:numId="55" w16cid:durableId="845098043">
    <w:abstractNumId w:val="60"/>
  </w:num>
  <w:num w:numId="56" w16cid:durableId="238293297">
    <w:abstractNumId w:val="69"/>
  </w:num>
  <w:num w:numId="57" w16cid:durableId="474564111">
    <w:abstractNumId w:val="48"/>
  </w:num>
  <w:num w:numId="58" w16cid:durableId="677777708">
    <w:abstractNumId w:val="86"/>
  </w:num>
  <w:num w:numId="59" w16cid:durableId="346954015">
    <w:abstractNumId w:val="70"/>
  </w:num>
  <w:num w:numId="60" w16cid:durableId="2106920719">
    <w:abstractNumId w:val="62"/>
  </w:num>
  <w:num w:numId="61" w16cid:durableId="1891458677">
    <w:abstractNumId w:val="44"/>
  </w:num>
  <w:num w:numId="62" w16cid:durableId="1206484300">
    <w:abstractNumId w:val="66"/>
  </w:num>
  <w:num w:numId="63" w16cid:durableId="1301567838">
    <w:abstractNumId w:val="93"/>
  </w:num>
  <w:num w:numId="64" w16cid:durableId="1270968947">
    <w:abstractNumId w:val="13"/>
  </w:num>
  <w:num w:numId="65" w16cid:durableId="1362776683">
    <w:abstractNumId w:val="79"/>
  </w:num>
  <w:num w:numId="66" w16cid:durableId="946081010">
    <w:abstractNumId w:val="100"/>
  </w:num>
  <w:num w:numId="67" w16cid:durableId="1952586378">
    <w:abstractNumId w:val="22"/>
  </w:num>
  <w:num w:numId="68" w16cid:durableId="26412667">
    <w:abstractNumId w:val="42"/>
  </w:num>
  <w:num w:numId="69" w16cid:durableId="1945266196">
    <w:abstractNumId w:val="37"/>
  </w:num>
  <w:num w:numId="70" w16cid:durableId="1888176031">
    <w:abstractNumId w:val="27"/>
  </w:num>
  <w:num w:numId="71" w16cid:durableId="1635795610">
    <w:abstractNumId w:val="38"/>
  </w:num>
  <w:num w:numId="72" w16cid:durableId="1625038123">
    <w:abstractNumId w:val="52"/>
  </w:num>
  <w:num w:numId="73" w16cid:durableId="1495956383">
    <w:abstractNumId w:val="32"/>
  </w:num>
  <w:num w:numId="74" w16cid:durableId="498934737">
    <w:abstractNumId w:val="40"/>
  </w:num>
  <w:num w:numId="75" w16cid:durableId="1007755602">
    <w:abstractNumId w:val="54"/>
  </w:num>
  <w:num w:numId="76" w16cid:durableId="774250199">
    <w:abstractNumId w:val="103"/>
  </w:num>
  <w:num w:numId="77" w16cid:durableId="622419688">
    <w:abstractNumId w:val="7"/>
  </w:num>
  <w:num w:numId="78" w16cid:durableId="1156411032">
    <w:abstractNumId w:val="51"/>
  </w:num>
  <w:num w:numId="79" w16cid:durableId="1894072734">
    <w:abstractNumId w:val="104"/>
  </w:num>
  <w:num w:numId="80" w16cid:durableId="961113830">
    <w:abstractNumId w:val="90"/>
  </w:num>
  <w:num w:numId="81" w16cid:durableId="1948199982">
    <w:abstractNumId w:val="57"/>
  </w:num>
  <w:num w:numId="82" w16cid:durableId="1306815673">
    <w:abstractNumId w:val="87"/>
  </w:num>
  <w:num w:numId="83" w16cid:durableId="1745755664">
    <w:abstractNumId w:val="1"/>
  </w:num>
  <w:num w:numId="84" w16cid:durableId="1063798486">
    <w:abstractNumId w:val="71"/>
  </w:num>
  <w:num w:numId="85" w16cid:durableId="1883009191">
    <w:abstractNumId w:val="89"/>
  </w:num>
  <w:num w:numId="86" w16cid:durableId="446847993">
    <w:abstractNumId w:val="65"/>
  </w:num>
  <w:num w:numId="87" w16cid:durableId="1833179164">
    <w:abstractNumId w:val="19"/>
  </w:num>
  <w:num w:numId="88" w16cid:durableId="1154220621">
    <w:abstractNumId w:val="23"/>
  </w:num>
  <w:num w:numId="89" w16cid:durableId="715160724">
    <w:abstractNumId w:val="2"/>
  </w:num>
  <w:num w:numId="90" w16cid:durableId="1760369519">
    <w:abstractNumId w:val="43"/>
  </w:num>
  <w:num w:numId="91" w16cid:durableId="235173047">
    <w:abstractNumId w:val="49"/>
  </w:num>
  <w:num w:numId="92" w16cid:durableId="1619330899">
    <w:abstractNumId w:val="50"/>
  </w:num>
  <w:num w:numId="93" w16cid:durableId="160120515">
    <w:abstractNumId w:val="59"/>
  </w:num>
  <w:num w:numId="94" w16cid:durableId="2080865033">
    <w:abstractNumId w:val="36"/>
  </w:num>
  <w:num w:numId="95" w16cid:durableId="48572643">
    <w:abstractNumId w:val="98"/>
  </w:num>
  <w:num w:numId="96" w16cid:durableId="1479372125">
    <w:abstractNumId w:val="33"/>
  </w:num>
  <w:num w:numId="97" w16cid:durableId="242103286">
    <w:abstractNumId w:val="31"/>
  </w:num>
  <w:num w:numId="98" w16cid:durableId="1680892826">
    <w:abstractNumId w:val="26"/>
  </w:num>
  <w:num w:numId="99" w16cid:durableId="1233849648">
    <w:abstractNumId w:val="102"/>
  </w:num>
  <w:num w:numId="100" w16cid:durableId="514808634">
    <w:abstractNumId w:val="20"/>
  </w:num>
  <w:num w:numId="101" w16cid:durableId="2051955811">
    <w:abstractNumId w:val="76"/>
  </w:num>
  <w:num w:numId="102" w16cid:durableId="159081461">
    <w:abstractNumId w:val="75"/>
  </w:num>
  <w:num w:numId="103" w16cid:durableId="2065132715">
    <w:abstractNumId w:val="25"/>
  </w:num>
  <w:num w:numId="104" w16cid:durableId="1660957123">
    <w:abstractNumId w:val="4"/>
  </w:num>
  <w:num w:numId="105" w16cid:durableId="177743699">
    <w:abstractNumId w:val="61"/>
  </w:num>
  <w:num w:numId="106" w16cid:durableId="270019119">
    <w:abstractNumId w:val="67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QwszQ2M7cwtjQ2MjNV0lEKTi0uzszPAykwrQUAJ6imMywAAAA="/>
  </w:docVars>
  <w:rsids>
    <w:rsidRoot w:val="00AF407C"/>
    <w:rsid w:val="00000D39"/>
    <w:rsid w:val="00001288"/>
    <w:rsid w:val="000017CB"/>
    <w:rsid w:val="00001C7F"/>
    <w:rsid w:val="00002A59"/>
    <w:rsid w:val="00003C92"/>
    <w:rsid w:val="00003E2E"/>
    <w:rsid w:val="00004CF8"/>
    <w:rsid w:val="00005164"/>
    <w:rsid w:val="000062A7"/>
    <w:rsid w:val="000104D8"/>
    <w:rsid w:val="00010DDE"/>
    <w:rsid w:val="00011FC4"/>
    <w:rsid w:val="000127DA"/>
    <w:rsid w:val="00012D00"/>
    <w:rsid w:val="00012E37"/>
    <w:rsid w:val="00013950"/>
    <w:rsid w:val="00013F22"/>
    <w:rsid w:val="0001423D"/>
    <w:rsid w:val="0001612B"/>
    <w:rsid w:val="00016414"/>
    <w:rsid w:val="0001719E"/>
    <w:rsid w:val="00017509"/>
    <w:rsid w:val="00017DC9"/>
    <w:rsid w:val="000202D1"/>
    <w:rsid w:val="00020717"/>
    <w:rsid w:val="000211DE"/>
    <w:rsid w:val="000214E0"/>
    <w:rsid w:val="00021B60"/>
    <w:rsid w:val="000220E1"/>
    <w:rsid w:val="000221EA"/>
    <w:rsid w:val="00024D30"/>
    <w:rsid w:val="00025264"/>
    <w:rsid w:val="00025E35"/>
    <w:rsid w:val="00027009"/>
    <w:rsid w:val="00027992"/>
    <w:rsid w:val="000302BD"/>
    <w:rsid w:val="00030DAC"/>
    <w:rsid w:val="00031BF8"/>
    <w:rsid w:val="000324C7"/>
    <w:rsid w:val="0003297A"/>
    <w:rsid w:val="00032C88"/>
    <w:rsid w:val="00033B82"/>
    <w:rsid w:val="00033D9B"/>
    <w:rsid w:val="00034176"/>
    <w:rsid w:val="00034760"/>
    <w:rsid w:val="00034EC9"/>
    <w:rsid w:val="00035A12"/>
    <w:rsid w:val="00035FF7"/>
    <w:rsid w:val="00036872"/>
    <w:rsid w:val="0003749A"/>
    <w:rsid w:val="00037EBC"/>
    <w:rsid w:val="000400C1"/>
    <w:rsid w:val="0004057D"/>
    <w:rsid w:val="00041CBD"/>
    <w:rsid w:val="0004242E"/>
    <w:rsid w:val="000431E5"/>
    <w:rsid w:val="00043C88"/>
    <w:rsid w:val="00043F00"/>
    <w:rsid w:val="00044AB5"/>
    <w:rsid w:val="00045280"/>
    <w:rsid w:val="00045A99"/>
    <w:rsid w:val="00045AEC"/>
    <w:rsid w:val="00046920"/>
    <w:rsid w:val="00046B8A"/>
    <w:rsid w:val="000479F8"/>
    <w:rsid w:val="000518F4"/>
    <w:rsid w:val="00051C61"/>
    <w:rsid w:val="00051D72"/>
    <w:rsid w:val="00052460"/>
    <w:rsid w:val="0005309C"/>
    <w:rsid w:val="000541D4"/>
    <w:rsid w:val="000544DD"/>
    <w:rsid w:val="00054922"/>
    <w:rsid w:val="00054EBE"/>
    <w:rsid w:val="00055691"/>
    <w:rsid w:val="00056BB4"/>
    <w:rsid w:val="000572D7"/>
    <w:rsid w:val="00057496"/>
    <w:rsid w:val="00060027"/>
    <w:rsid w:val="00060C94"/>
    <w:rsid w:val="0006118D"/>
    <w:rsid w:val="000619FD"/>
    <w:rsid w:val="0006255C"/>
    <w:rsid w:val="0006262B"/>
    <w:rsid w:val="000627EA"/>
    <w:rsid w:val="00063241"/>
    <w:rsid w:val="000632E0"/>
    <w:rsid w:val="00064F2D"/>
    <w:rsid w:val="0006522A"/>
    <w:rsid w:val="000655EB"/>
    <w:rsid w:val="00065DE2"/>
    <w:rsid w:val="00065DE6"/>
    <w:rsid w:val="00065FFB"/>
    <w:rsid w:val="0006686A"/>
    <w:rsid w:val="000669BD"/>
    <w:rsid w:val="00066B90"/>
    <w:rsid w:val="0006792F"/>
    <w:rsid w:val="00070AE9"/>
    <w:rsid w:val="000718EE"/>
    <w:rsid w:val="000722E0"/>
    <w:rsid w:val="000753F8"/>
    <w:rsid w:val="00076448"/>
    <w:rsid w:val="00076BF5"/>
    <w:rsid w:val="00076F3B"/>
    <w:rsid w:val="00077E1E"/>
    <w:rsid w:val="00080485"/>
    <w:rsid w:val="000806EB"/>
    <w:rsid w:val="00081A40"/>
    <w:rsid w:val="00081E99"/>
    <w:rsid w:val="00082314"/>
    <w:rsid w:val="0008261C"/>
    <w:rsid w:val="00082B4D"/>
    <w:rsid w:val="000835BB"/>
    <w:rsid w:val="000837A0"/>
    <w:rsid w:val="00083F13"/>
    <w:rsid w:val="00085059"/>
    <w:rsid w:val="00086124"/>
    <w:rsid w:val="000863C1"/>
    <w:rsid w:val="000869D2"/>
    <w:rsid w:val="00086F03"/>
    <w:rsid w:val="00087263"/>
    <w:rsid w:val="000873B5"/>
    <w:rsid w:val="00087E1E"/>
    <w:rsid w:val="0009075B"/>
    <w:rsid w:val="00091576"/>
    <w:rsid w:val="00092D91"/>
    <w:rsid w:val="00093757"/>
    <w:rsid w:val="0009799F"/>
    <w:rsid w:val="000A0C0A"/>
    <w:rsid w:val="000A19E8"/>
    <w:rsid w:val="000A3DF2"/>
    <w:rsid w:val="000A3F3F"/>
    <w:rsid w:val="000A444D"/>
    <w:rsid w:val="000A5038"/>
    <w:rsid w:val="000A6B48"/>
    <w:rsid w:val="000A6E5C"/>
    <w:rsid w:val="000A78ED"/>
    <w:rsid w:val="000B0A90"/>
    <w:rsid w:val="000B1661"/>
    <w:rsid w:val="000B1772"/>
    <w:rsid w:val="000B1C48"/>
    <w:rsid w:val="000B1C86"/>
    <w:rsid w:val="000B22AF"/>
    <w:rsid w:val="000B22B9"/>
    <w:rsid w:val="000B31EC"/>
    <w:rsid w:val="000B455D"/>
    <w:rsid w:val="000B45FA"/>
    <w:rsid w:val="000B52CC"/>
    <w:rsid w:val="000B5803"/>
    <w:rsid w:val="000B5CD1"/>
    <w:rsid w:val="000B5E22"/>
    <w:rsid w:val="000B6724"/>
    <w:rsid w:val="000B7B34"/>
    <w:rsid w:val="000C03AC"/>
    <w:rsid w:val="000C0812"/>
    <w:rsid w:val="000C16DE"/>
    <w:rsid w:val="000C1C8E"/>
    <w:rsid w:val="000C2477"/>
    <w:rsid w:val="000C3673"/>
    <w:rsid w:val="000C5F9D"/>
    <w:rsid w:val="000C5FFD"/>
    <w:rsid w:val="000C6D4C"/>
    <w:rsid w:val="000C70A5"/>
    <w:rsid w:val="000C7614"/>
    <w:rsid w:val="000C7703"/>
    <w:rsid w:val="000D0375"/>
    <w:rsid w:val="000D07AD"/>
    <w:rsid w:val="000D0BD4"/>
    <w:rsid w:val="000D0CB5"/>
    <w:rsid w:val="000D0FB1"/>
    <w:rsid w:val="000D17C9"/>
    <w:rsid w:val="000D1B4D"/>
    <w:rsid w:val="000D28BF"/>
    <w:rsid w:val="000D2FA4"/>
    <w:rsid w:val="000D2FBB"/>
    <w:rsid w:val="000D379F"/>
    <w:rsid w:val="000D503B"/>
    <w:rsid w:val="000D572A"/>
    <w:rsid w:val="000D5D9C"/>
    <w:rsid w:val="000D6965"/>
    <w:rsid w:val="000D740B"/>
    <w:rsid w:val="000E03FD"/>
    <w:rsid w:val="000E0896"/>
    <w:rsid w:val="000E0B6A"/>
    <w:rsid w:val="000E0BB2"/>
    <w:rsid w:val="000E1033"/>
    <w:rsid w:val="000E1227"/>
    <w:rsid w:val="000E2EB4"/>
    <w:rsid w:val="000E47B5"/>
    <w:rsid w:val="000E4DF0"/>
    <w:rsid w:val="000E573E"/>
    <w:rsid w:val="000E5E4C"/>
    <w:rsid w:val="000E6DBC"/>
    <w:rsid w:val="000E721A"/>
    <w:rsid w:val="000E7EFA"/>
    <w:rsid w:val="000F0F1D"/>
    <w:rsid w:val="000F17EB"/>
    <w:rsid w:val="000F2402"/>
    <w:rsid w:val="000F2542"/>
    <w:rsid w:val="000F3A24"/>
    <w:rsid w:val="000F3CF4"/>
    <w:rsid w:val="000F3E12"/>
    <w:rsid w:val="000F5158"/>
    <w:rsid w:val="000F5B41"/>
    <w:rsid w:val="000F5C4B"/>
    <w:rsid w:val="000F5EAB"/>
    <w:rsid w:val="000F79AC"/>
    <w:rsid w:val="000F7DB2"/>
    <w:rsid w:val="000F7EC1"/>
    <w:rsid w:val="000F7F60"/>
    <w:rsid w:val="00100D70"/>
    <w:rsid w:val="0010156B"/>
    <w:rsid w:val="001024AE"/>
    <w:rsid w:val="00102972"/>
    <w:rsid w:val="00102DB7"/>
    <w:rsid w:val="00103862"/>
    <w:rsid w:val="00103DEC"/>
    <w:rsid w:val="0010445F"/>
    <w:rsid w:val="001047E1"/>
    <w:rsid w:val="00104963"/>
    <w:rsid w:val="0010519C"/>
    <w:rsid w:val="00105E50"/>
    <w:rsid w:val="001062EE"/>
    <w:rsid w:val="00107067"/>
    <w:rsid w:val="001073C6"/>
    <w:rsid w:val="00110933"/>
    <w:rsid w:val="00110D2E"/>
    <w:rsid w:val="00111D40"/>
    <w:rsid w:val="00112073"/>
    <w:rsid w:val="001123BE"/>
    <w:rsid w:val="00112567"/>
    <w:rsid w:val="001126A0"/>
    <w:rsid w:val="001137FD"/>
    <w:rsid w:val="001139E0"/>
    <w:rsid w:val="00113AE5"/>
    <w:rsid w:val="00113E0A"/>
    <w:rsid w:val="001142E2"/>
    <w:rsid w:val="0011486C"/>
    <w:rsid w:val="00114C24"/>
    <w:rsid w:val="001156D0"/>
    <w:rsid w:val="00116456"/>
    <w:rsid w:val="00116FB6"/>
    <w:rsid w:val="00117B3C"/>
    <w:rsid w:val="00117ED8"/>
    <w:rsid w:val="00121020"/>
    <w:rsid w:val="001214D9"/>
    <w:rsid w:val="001216CF"/>
    <w:rsid w:val="00122C2B"/>
    <w:rsid w:val="00122D1C"/>
    <w:rsid w:val="00122D5B"/>
    <w:rsid w:val="00123417"/>
    <w:rsid w:val="00123D4D"/>
    <w:rsid w:val="00125AFC"/>
    <w:rsid w:val="00127179"/>
    <w:rsid w:val="0012782F"/>
    <w:rsid w:val="001303F9"/>
    <w:rsid w:val="00131817"/>
    <w:rsid w:val="00131EE7"/>
    <w:rsid w:val="00132293"/>
    <w:rsid w:val="0013372F"/>
    <w:rsid w:val="0013418E"/>
    <w:rsid w:val="001342A1"/>
    <w:rsid w:val="001346AC"/>
    <w:rsid w:val="00135D55"/>
    <w:rsid w:val="00137113"/>
    <w:rsid w:val="00137227"/>
    <w:rsid w:val="001407DC"/>
    <w:rsid w:val="00140DA3"/>
    <w:rsid w:val="00140EC4"/>
    <w:rsid w:val="001412D9"/>
    <w:rsid w:val="0014322B"/>
    <w:rsid w:val="00145B3F"/>
    <w:rsid w:val="00145EAE"/>
    <w:rsid w:val="00146BA7"/>
    <w:rsid w:val="00146C9C"/>
    <w:rsid w:val="00146CCF"/>
    <w:rsid w:val="001500E4"/>
    <w:rsid w:val="00150DB7"/>
    <w:rsid w:val="00151650"/>
    <w:rsid w:val="00152D85"/>
    <w:rsid w:val="0015340B"/>
    <w:rsid w:val="00153823"/>
    <w:rsid w:val="00155BDA"/>
    <w:rsid w:val="00155EA8"/>
    <w:rsid w:val="00157CD8"/>
    <w:rsid w:val="00157CDB"/>
    <w:rsid w:val="00157F08"/>
    <w:rsid w:val="00160214"/>
    <w:rsid w:val="00160291"/>
    <w:rsid w:val="001604E1"/>
    <w:rsid w:val="001607BF"/>
    <w:rsid w:val="001610A6"/>
    <w:rsid w:val="001620F6"/>
    <w:rsid w:val="0016268F"/>
    <w:rsid w:val="001633FF"/>
    <w:rsid w:val="00163B48"/>
    <w:rsid w:val="001650A5"/>
    <w:rsid w:val="00166790"/>
    <w:rsid w:val="00166A14"/>
    <w:rsid w:val="00166EAA"/>
    <w:rsid w:val="00167EF2"/>
    <w:rsid w:val="00170721"/>
    <w:rsid w:val="0017172F"/>
    <w:rsid w:val="00171DE7"/>
    <w:rsid w:val="001725A9"/>
    <w:rsid w:val="00172EFB"/>
    <w:rsid w:val="0017306B"/>
    <w:rsid w:val="001742AA"/>
    <w:rsid w:val="00174400"/>
    <w:rsid w:val="00174725"/>
    <w:rsid w:val="001747E6"/>
    <w:rsid w:val="00174819"/>
    <w:rsid w:val="00174888"/>
    <w:rsid w:val="00174DD3"/>
    <w:rsid w:val="001765B8"/>
    <w:rsid w:val="00176DFB"/>
    <w:rsid w:val="00177259"/>
    <w:rsid w:val="001803BB"/>
    <w:rsid w:val="00182018"/>
    <w:rsid w:val="00182DD3"/>
    <w:rsid w:val="00184C66"/>
    <w:rsid w:val="00184F1A"/>
    <w:rsid w:val="00185319"/>
    <w:rsid w:val="001865A4"/>
    <w:rsid w:val="001869B9"/>
    <w:rsid w:val="00186F2D"/>
    <w:rsid w:val="00190221"/>
    <w:rsid w:val="00190409"/>
    <w:rsid w:val="00191EFA"/>
    <w:rsid w:val="001923CF"/>
    <w:rsid w:val="00192ECB"/>
    <w:rsid w:val="00192F1C"/>
    <w:rsid w:val="00194B7D"/>
    <w:rsid w:val="0019509E"/>
    <w:rsid w:val="00195629"/>
    <w:rsid w:val="00197A91"/>
    <w:rsid w:val="00197DD8"/>
    <w:rsid w:val="001A0375"/>
    <w:rsid w:val="001A0541"/>
    <w:rsid w:val="001A08A9"/>
    <w:rsid w:val="001A0C45"/>
    <w:rsid w:val="001A0E22"/>
    <w:rsid w:val="001A1111"/>
    <w:rsid w:val="001A1130"/>
    <w:rsid w:val="001A1F70"/>
    <w:rsid w:val="001A2ACC"/>
    <w:rsid w:val="001A2DD1"/>
    <w:rsid w:val="001A2F9D"/>
    <w:rsid w:val="001A3767"/>
    <w:rsid w:val="001A3E26"/>
    <w:rsid w:val="001A558E"/>
    <w:rsid w:val="001A607B"/>
    <w:rsid w:val="001A6B06"/>
    <w:rsid w:val="001A6DE8"/>
    <w:rsid w:val="001A6E92"/>
    <w:rsid w:val="001A70FE"/>
    <w:rsid w:val="001A7F7F"/>
    <w:rsid w:val="001B07D0"/>
    <w:rsid w:val="001B0E78"/>
    <w:rsid w:val="001B1245"/>
    <w:rsid w:val="001B1929"/>
    <w:rsid w:val="001B2998"/>
    <w:rsid w:val="001B2B16"/>
    <w:rsid w:val="001B3D25"/>
    <w:rsid w:val="001B4139"/>
    <w:rsid w:val="001B4477"/>
    <w:rsid w:val="001B481B"/>
    <w:rsid w:val="001B5589"/>
    <w:rsid w:val="001B6345"/>
    <w:rsid w:val="001B6575"/>
    <w:rsid w:val="001B7198"/>
    <w:rsid w:val="001B7ED0"/>
    <w:rsid w:val="001C1331"/>
    <w:rsid w:val="001C13E2"/>
    <w:rsid w:val="001C1C9B"/>
    <w:rsid w:val="001C226D"/>
    <w:rsid w:val="001C2532"/>
    <w:rsid w:val="001C3301"/>
    <w:rsid w:val="001C38B1"/>
    <w:rsid w:val="001C3F96"/>
    <w:rsid w:val="001C4946"/>
    <w:rsid w:val="001C4D15"/>
    <w:rsid w:val="001C4FE0"/>
    <w:rsid w:val="001C5B3C"/>
    <w:rsid w:val="001C74F4"/>
    <w:rsid w:val="001C7916"/>
    <w:rsid w:val="001D02D4"/>
    <w:rsid w:val="001D121B"/>
    <w:rsid w:val="001D28DD"/>
    <w:rsid w:val="001D2A2D"/>
    <w:rsid w:val="001D33D2"/>
    <w:rsid w:val="001D40F9"/>
    <w:rsid w:val="001D4D43"/>
    <w:rsid w:val="001D603D"/>
    <w:rsid w:val="001D6F9E"/>
    <w:rsid w:val="001D7652"/>
    <w:rsid w:val="001E058F"/>
    <w:rsid w:val="001E0D53"/>
    <w:rsid w:val="001E0E86"/>
    <w:rsid w:val="001E1DC3"/>
    <w:rsid w:val="001E4074"/>
    <w:rsid w:val="001E5EBA"/>
    <w:rsid w:val="001E6B47"/>
    <w:rsid w:val="001E6DC3"/>
    <w:rsid w:val="001E74E8"/>
    <w:rsid w:val="001F0013"/>
    <w:rsid w:val="001F1948"/>
    <w:rsid w:val="001F196F"/>
    <w:rsid w:val="001F1DDE"/>
    <w:rsid w:val="001F3552"/>
    <w:rsid w:val="001F51C9"/>
    <w:rsid w:val="001F53D7"/>
    <w:rsid w:val="001F63A8"/>
    <w:rsid w:val="001F695E"/>
    <w:rsid w:val="001F6B93"/>
    <w:rsid w:val="001F7331"/>
    <w:rsid w:val="00201FBB"/>
    <w:rsid w:val="00202605"/>
    <w:rsid w:val="00202C68"/>
    <w:rsid w:val="002030B8"/>
    <w:rsid w:val="002030DF"/>
    <w:rsid w:val="0020390B"/>
    <w:rsid w:val="002044EC"/>
    <w:rsid w:val="00204D59"/>
    <w:rsid w:val="00205341"/>
    <w:rsid w:val="002057D5"/>
    <w:rsid w:val="00205814"/>
    <w:rsid w:val="002060E7"/>
    <w:rsid w:val="00206A4E"/>
    <w:rsid w:val="00206EDF"/>
    <w:rsid w:val="002079DA"/>
    <w:rsid w:val="002102C3"/>
    <w:rsid w:val="0021061A"/>
    <w:rsid w:val="00210FA2"/>
    <w:rsid w:val="00211309"/>
    <w:rsid w:val="002116F7"/>
    <w:rsid w:val="00212A30"/>
    <w:rsid w:val="00213FEA"/>
    <w:rsid w:val="0021519C"/>
    <w:rsid w:val="00215ACD"/>
    <w:rsid w:val="00215B3A"/>
    <w:rsid w:val="0021631C"/>
    <w:rsid w:val="002164D0"/>
    <w:rsid w:val="002169BE"/>
    <w:rsid w:val="002200F4"/>
    <w:rsid w:val="00220824"/>
    <w:rsid w:val="00221AA1"/>
    <w:rsid w:val="00221F12"/>
    <w:rsid w:val="00222402"/>
    <w:rsid w:val="00222A14"/>
    <w:rsid w:val="00222FF1"/>
    <w:rsid w:val="00224B3A"/>
    <w:rsid w:val="00224C5B"/>
    <w:rsid w:val="00225F75"/>
    <w:rsid w:val="0022689C"/>
    <w:rsid w:val="002270F7"/>
    <w:rsid w:val="002273A4"/>
    <w:rsid w:val="002276D4"/>
    <w:rsid w:val="00227CDD"/>
    <w:rsid w:val="00227DF6"/>
    <w:rsid w:val="00230842"/>
    <w:rsid w:val="0023270D"/>
    <w:rsid w:val="00232FA4"/>
    <w:rsid w:val="00235C93"/>
    <w:rsid w:val="00237698"/>
    <w:rsid w:val="002379C1"/>
    <w:rsid w:val="00241516"/>
    <w:rsid w:val="002420E7"/>
    <w:rsid w:val="00243491"/>
    <w:rsid w:val="00243A44"/>
    <w:rsid w:val="00243E04"/>
    <w:rsid w:val="00243F86"/>
    <w:rsid w:val="00245544"/>
    <w:rsid w:val="00245A3C"/>
    <w:rsid w:val="00246486"/>
    <w:rsid w:val="00250A41"/>
    <w:rsid w:val="00252122"/>
    <w:rsid w:val="002524F2"/>
    <w:rsid w:val="00253A38"/>
    <w:rsid w:val="0025401E"/>
    <w:rsid w:val="00254A1E"/>
    <w:rsid w:val="002551E8"/>
    <w:rsid w:val="00256C13"/>
    <w:rsid w:val="0025715F"/>
    <w:rsid w:val="002573EE"/>
    <w:rsid w:val="00257E3C"/>
    <w:rsid w:val="0026029F"/>
    <w:rsid w:val="00261600"/>
    <w:rsid w:val="002619EF"/>
    <w:rsid w:val="00261BEB"/>
    <w:rsid w:val="00263321"/>
    <w:rsid w:val="002635ED"/>
    <w:rsid w:val="002643FD"/>
    <w:rsid w:val="0026492C"/>
    <w:rsid w:val="00264C3C"/>
    <w:rsid w:val="00265220"/>
    <w:rsid w:val="00266629"/>
    <w:rsid w:val="002673FC"/>
    <w:rsid w:val="00271764"/>
    <w:rsid w:val="0027211B"/>
    <w:rsid w:val="00272898"/>
    <w:rsid w:val="002734D6"/>
    <w:rsid w:val="00273DBD"/>
    <w:rsid w:val="0027534A"/>
    <w:rsid w:val="0027577D"/>
    <w:rsid w:val="0027740B"/>
    <w:rsid w:val="00277CCC"/>
    <w:rsid w:val="0028055A"/>
    <w:rsid w:val="00280752"/>
    <w:rsid w:val="002834E8"/>
    <w:rsid w:val="00283892"/>
    <w:rsid w:val="00284FC8"/>
    <w:rsid w:val="002860A1"/>
    <w:rsid w:val="00286C7C"/>
    <w:rsid w:val="00286C8F"/>
    <w:rsid w:val="00287182"/>
    <w:rsid w:val="0028726E"/>
    <w:rsid w:val="00287657"/>
    <w:rsid w:val="00287F25"/>
    <w:rsid w:val="00290DD4"/>
    <w:rsid w:val="00291126"/>
    <w:rsid w:val="00292992"/>
    <w:rsid w:val="002933D0"/>
    <w:rsid w:val="002938F7"/>
    <w:rsid w:val="00295EEE"/>
    <w:rsid w:val="00296656"/>
    <w:rsid w:val="00296A3C"/>
    <w:rsid w:val="00296C90"/>
    <w:rsid w:val="00297234"/>
    <w:rsid w:val="002A0BF5"/>
    <w:rsid w:val="002A1B75"/>
    <w:rsid w:val="002A1E3B"/>
    <w:rsid w:val="002A22EF"/>
    <w:rsid w:val="002A2486"/>
    <w:rsid w:val="002A2948"/>
    <w:rsid w:val="002A5679"/>
    <w:rsid w:val="002A5831"/>
    <w:rsid w:val="002A5855"/>
    <w:rsid w:val="002A58AD"/>
    <w:rsid w:val="002A65BD"/>
    <w:rsid w:val="002A6E74"/>
    <w:rsid w:val="002A702A"/>
    <w:rsid w:val="002B0D86"/>
    <w:rsid w:val="002B1D46"/>
    <w:rsid w:val="002B22FF"/>
    <w:rsid w:val="002B2431"/>
    <w:rsid w:val="002B2B57"/>
    <w:rsid w:val="002B3E49"/>
    <w:rsid w:val="002B470C"/>
    <w:rsid w:val="002B4E79"/>
    <w:rsid w:val="002B5B90"/>
    <w:rsid w:val="002B6107"/>
    <w:rsid w:val="002B66D3"/>
    <w:rsid w:val="002B6A2D"/>
    <w:rsid w:val="002B77DD"/>
    <w:rsid w:val="002C00E2"/>
    <w:rsid w:val="002C0544"/>
    <w:rsid w:val="002C0D09"/>
    <w:rsid w:val="002C0D2D"/>
    <w:rsid w:val="002C2126"/>
    <w:rsid w:val="002C2386"/>
    <w:rsid w:val="002C280F"/>
    <w:rsid w:val="002C323F"/>
    <w:rsid w:val="002C394F"/>
    <w:rsid w:val="002C3AB6"/>
    <w:rsid w:val="002C409C"/>
    <w:rsid w:val="002C5B2C"/>
    <w:rsid w:val="002C5CEB"/>
    <w:rsid w:val="002C67CC"/>
    <w:rsid w:val="002C6C80"/>
    <w:rsid w:val="002C7986"/>
    <w:rsid w:val="002D0136"/>
    <w:rsid w:val="002D0B32"/>
    <w:rsid w:val="002D162E"/>
    <w:rsid w:val="002D1CAA"/>
    <w:rsid w:val="002D4124"/>
    <w:rsid w:val="002D4A12"/>
    <w:rsid w:val="002D4E22"/>
    <w:rsid w:val="002D6FC9"/>
    <w:rsid w:val="002D7FD1"/>
    <w:rsid w:val="002E048F"/>
    <w:rsid w:val="002E2573"/>
    <w:rsid w:val="002E2605"/>
    <w:rsid w:val="002E2D21"/>
    <w:rsid w:val="002E2E89"/>
    <w:rsid w:val="002E4ADA"/>
    <w:rsid w:val="002E4F67"/>
    <w:rsid w:val="002E4FF9"/>
    <w:rsid w:val="002E543F"/>
    <w:rsid w:val="002E5E53"/>
    <w:rsid w:val="002E6A79"/>
    <w:rsid w:val="002F01DA"/>
    <w:rsid w:val="002F0239"/>
    <w:rsid w:val="002F0339"/>
    <w:rsid w:val="002F26A2"/>
    <w:rsid w:val="002F274D"/>
    <w:rsid w:val="002F2F45"/>
    <w:rsid w:val="002F3F5A"/>
    <w:rsid w:val="002F41A0"/>
    <w:rsid w:val="002F41B2"/>
    <w:rsid w:val="002F44C7"/>
    <w:rsid w:val="002F5022"/>
    <w:rsid w:val="002F50F0"/>
    <w:rsid w:val="002F68E1"/>
    <w:rsid w:val="002F6C21"/>
    <w:rsid w:val="002F7503"/>
    <w:rsid w:val="002F78E9"/>
    <w:rsid w:val="002F7DC4"/>
    <w:rsid w:val="00300234"/>
    <w:rsid w:val="00300419"/>
    <w:rsid w:val="003010B9"/>
    <w:rsid w:val="00301824"/>
    <w:rsid w:val="00302894"/>
    <w:rsid w:val="003029E9"/>
    <w:rsid w:val="00303131"/>
    <w:rsid w:val="0030330F"/>
    <w:rsid w:val="00303892"/>
    <w:rsid w:val="003043DB"/>
    <w:rsid w:val="00304B2C"/>
    <w:rsid w:val="00304C97"/>
    <w:rsid w:val="00305C8D"/>
    <w:rsid w:val="00306460"/>
    <w:rsid w:val="003072BF"/>
    <w:rsid w:val="00307925"/>
    <w:rsid w:val="00307C86"/>
    <w:rsid w:val="003101FC"/>
    <w:rsid w:val="003107AE"/>
    <w:rsid w:val="00310841"/>
    <w:rsid w:val="0031127A"/>
    <w:rsid w:val="00311853"/>
    <w:rsid w:val="00312163"/>
    <w:rsid w:val="00312533"/>
    <w:rsid w:val="00314CEC"/>
    <w:rsid w:val="00315D74"/>
    <w:rsid w:val="003161C3"/>
    <w:rsid w:val="0031678D"/>
    <w:rsid w:val="003167CF"/>
    <w:rsid w:val="00316946"/>
    <w:rsid w:val="00316BAC"/>
    <w:rsid w:val="003206E8"/>
    <w:rsid w:val="00320D9A"/>
    <w:rsid w:val="003211C5"/>
    <w:rsid w:val="003216EE"/>
    <w:rsid w:val="00322413"/>
    <w:rsid w:val="00322711"/>
    <w:rsid w:val="0032304F"/>
    <w:rsid w:val="00323C4E"/>
    <w:rsid w:val="00323FF9"/>
    <w:rsid w:val="00325101"/>
    <w:rsid w:val="0032514D"/>
    <w:rsid w:val="00326257"/>
    <w:rsid w:val="00326432"/>
    <w:rsid w:val="00326669"/>
    <w:rsid w:val="00326864"/>
    <w:rsid w:val="003268EA"/>
    <w:rsid w:val="00326E31"/>
    <w:rsid w:val="00331692"/>
    <w:rsid w:val="00331970"/>
    <w:rsid w:val="00331DD0"/>
    <w:rsid w:val="00332068"/>
    <w:rsid w:val="00332769"/>
    <w:rsid w:val="00332CEA"/>
    <w:rsid w:val="003342AE"/>
    <w:rsid w:val="00334F9A"/>
    <w:rsid w:val="0033527D"/>
    <w:rsid w:val="003355B2"/>
    <w:rsid w:val="00336AEB"/>
    <w:rsid w:val="00336B2E"/>
    <w:rsid w:val="00336CD6"/>
    <w:rsid w:val="00337B7D"/>
    <w:rsid w:val="00340D0D"/>
    <w:rsid w:val="00340D62"/>
    <w:rsid w:val="00340DE8"/>
    <w:rsid w:val="00341139"/>
    <w:rsid w:val="003416D1"/>
    <w:rsid w:val="00341836"/>
    <w:rsid w:val="00344285"/>
    <w:rsid w:val="00346C32"/>
    <w:rsid w:val="00350D43"/>
    <w:rsid w:val="00352832"/>
    <w:rsid w:val="00353AC6"/>
    <w:rsid w:val="00353FB8"/>
    <w:rsid w:val="003555ED"/>
    <w:rsid w:val="00355EF3"/>
    <w:rsid w:val="003572F5"/>
    <w:rsid w:val="00357885"/>
    <w:rsid w:val="00357AFC"/>
    <w:rsid w:val="00357ED0"/>
    <w:rsid w:val="00360142"/>
    <w:rsid w:val="00360293"/>
    <w:rsid w:val="00360642"/>
    <w:rsid w:val="003607E1"/>
    <w:rsid w:val="00361415"/>
    <w:rsid w:val="0036278C"/>
    <w:rsid w:val="003628B0"/>
    <w:rsid w:val="0036296E"/>
    <w:rsid w:val="00364286"/>
    <w:rsid w:val="00364D31"/>
    <w:rsid w:val="00365A28"/>
    <w:rsid w:val="00365D2A"/>
    <w:rsid w:val="00366300"/>
    <w:rsid w:val="00366986"/>
    <w:rsid w:val="0036710B"/>
    <w:rsid w:val="00371D53"/>
    <w:rsid w:val="00372F49"/>
    <w:rsid w:val="00373401"/>
    <w:rsid w:val="00374421"/>
    <w:rsid w:val="003749A7"/>
    <w:rsid w:val="00376319"/>
    <w:rsid w:val="00376712"/>
    <w:rsid w:val="00377A0F"/>
    <w:rsid w:val="00377E0B"/>
    <w:rsid w:val="00377F3D"/>
    <w:rsid w:val="00381EF1"/>
    <w:rsid w:val="003824E0"/>
    <w:rsid w:val="0038252C"/>
    <w:rsid w:val="00383D78"/>
    <w:rsid w:val="00383FA4"/>
    <w:rsid w:val="003841BC"/>
    <w:rsid w:val="003843F0"/>
    <w:rsid w:val="00384A8C"/>
    <w:rsid w:val="00384B95"/>
    <w:rsid w:val="00384E25"/>
    <w:rsid w:val="00385D61"/>
    <w:rsid w:val="003866A2"/>
    <w:rsid w:val="00386956"/>
    <w:rsid w:val="003876BE"/>
    <w:rsid w:val="0038775E"/>
    <w:rsid w:val="00387ECB"/>
    <w:rsid w:val="003913A8"/>
    <w:rsid w:val="003923F1"/>
    <w:rsid w:val="00392FE6"/>
    <w:rsid w:val="00393A57"/>
    <w:rsid w:val="00394B63"/>
    <w:rsid w:val="003953E2"/>
    <w:rsid w:val="003964C8"/>
    <w:rsid w:val="00396860"/>
    <w:rsid w:val="00396C05"/>
    <w:rsid w:val="00397DDE"/>
    <w:rsid w:val="003A1F7C"/>
    <w:rsid w:val="003A2A08"/>
    <w:rsid w:val="003A5441"/>
    <w:rsid w:val="003A5A8A"/>
    <w:rsid w:val="003A6964"/>
    <w:rsid w:val="003A71EB"/>
    <w:rsid w:val="003A7812"/>
    <w:rsid w:val="003B0A4D"/>
    <w:rsid w:val="003B0BE2"/>
    <w:rsid w:val="003B1208"/>
    <w:rsid w:val="003B2074"/>
    <w:rsid w:val="003B2111"/>
    <w:rsid w:val="003B2E63"/>
    <w:rsid w:val="003B3741"/>
    <w:rsid w:val="003B3852"/>
    <w:rsid w:val="003B4E00"/>
    <w:rsid w:val="003B5604"/>
    <w:rsid w:val="003B575E"/>
    <w:rsid w:val="003B5A03"/>
    <w:rsid w:val="003B5EC5"/>
    <w:rsid w:val="003B6039"/>
    <w:rsid w:val="003B6648"/>
    <w:rsid w:val="003C00FB"/>
    <w:rsid w:val="003C0DEB"/>
    <w:rsid w:val="003C2539"/>
    <w:rsid w:val="003C2ED1"/>
    <w:rsid w:val="003C45A4"/>
    <w:rsid w:val="003C5244"/>
    <w:rsid w:val="003C52F5"/>
    <w:rsid w:val="003C5357"/>
    <w:rsid w:val="003C6C9C"/>
    <w:rsid w:val="003C6F6D"/>
    <w:rsid w:val="003C7308"/>
    <w:rsid w:val="003C7766"/>
    <w:rsid w:val="003C7EF6"/>
    <w:rsid w:val="003D1328"/>
    <w:rsid w:val="003D294E"/>
    <w:rsid w:val="003D34E5"/>
    <w:rsid w:val="003D4BA8"/>
    <w:rsid w:val="003D5D27"/>
    <w:rsid w:val="003D7803"/>
    <w:rsid w:val="003E0156"/>
    <w:rsid w:val="003E02FB"/>
    <w:rsid w:val="003E0CC0"/>
    <w:rsid w:val="003E0CC2"/>
    <w:rsid w:val="003E2015"/>
    <w:rsid w:val="003E29EC"/>
    <w:rsid w:val="003E2AFE"/>
    <w:rsid w:val="003E2CD8"/>
    <w:rsid w:val="003E3453"/>
    <w:rsid w:val="003E37AF"/>
    <w:rsid w:val="003E3A41"/>
    <w:rsid w:val="003E4B97"/>
    <w:rsid w:val="003E4FE0"/>
    <w:rsid w:val="003E560D"/>
    <w:rsid w:val="003E6745"/>
    <w:rsid w:val="003E6CE0"/>
    <w:rsid w:val="003E7569"/>
    <w:rsid w:val="003E78BD"/>
    <w:rsid w:val="003E7FE3"/>
    <w:rsid w:val="003F047A"/>
    <w:rsid w:val="003F0AEF"/>
    <w:rsid w:val="003F22D3"/>
    <w:rsid w:val="003F2692"/>
    <w:rsid w:val="003F2861"/>
    <w:rsid w:val="003F2C02"/>
    <w:rsid w:val="003F337B"/>
    <w:rsid w:val="003F4501"/>
    <w:rsid w:val="003F4D5B"/>
    <w:rsid w:val="003F55CE"/>
    <w:rsid w:val="003F646B"/>
    <w:rsid w:val="003F6D2C"/>
    <w:rsid w:val="00400BCB"/>
    <w:rsid w:val="00401879"/>
    <w:rsid w:val="00402866"/>
    <w:rsid w:val="00402B4D"/>
    <w:rsid w:val="00402B8E"/>
    <w:rsid w:val="00402E9A"/>
    <w:rsid w:val="00404222"/>
    <w:rsid w:val="00404492"/>
    <w:rsid w:val="004053F9"/>
    <w:rsid w:val="004054A5"/>
    <w:rsid w:val="00406504"/>
    <w:rsid w:val="00406E77"/>
    <w:rsid w:val="0040776D"/>
    <w:rsid w:val="00407A07"/>
    <w:rsid w:val="00412D93"/>
    <w:rsid w:val="0041441D"/>
    <w:rsid w:val="0041561D"/>
    <w:rsid w:val="00415641"/>
    <w:rsid w:val="0041626C"/>
    <w:rsid w:val="004162DA"/>
    <w:rsid w:val="00416E03"/>
    <w:rsid w:val="004202D9"/>
    <w:rsid w:val="004211E3"/>
    <w:rsid w:val="004213CE"/>
    <w:rsid w:val="00422292"/>
    <w:rsid w:val="004230A9"/>
    <w:rsid w:val="004230FE"/>
    <w:rsid w:val="004231B5"/>
    <w:rsid w:val="004234A3"/>
    <w:rsid w:val="00423861"/>
    <w:rsid w:val="00423D1B"/>
    <w:rsid w:val="00424A1C"/>
    <w:rsid w:val="00424E5B"/>
    <w:rsid w:val="00425572"/>
    <w:rsid w:val="0042684A"/>
    <w:rsid w:val="004270D6"/>
    <w:rsid w:val="004273DF"/>
    <w:rsid w:val="004277B7"/>
    <w:rsid w:val="00430566"/>
    <w:rsid w:val="00430DB2"/>
    <w:rsid w:val="00432819"/>
    <w:rsid w:val="00433041"/>
    <w:rsid w:val="00433AC4"/>
    <w:rsid w:val="00434527"/>
    <w:rsid w:val="00434937"/>
    <w:rsid w:val="004353FA"/>
    <w:rsid w:val="00435450"/>
    <w:rsid w:val="00437B61"/>
    <w:rsid w:val="00440DE6"/>
    <w:rsid w:val="0044126C"/>
    <w:rsid w:val="004426A0"/>
    <w:rsid w:val="00443405"/>
    <w:rsid w:val="00443513"/>
    <w:rsid w:val="00443616"/>
    <w:rsid w:val="004443F6"/>
    <w:rsid w:val="0044461E"/>
    <w:rsid w:val="00445117"/>
    <w:rsid w:val="00445678"/>
    <w:rsid w:val="00445A49"/>
    <w:rsid w:val="00445B2D"/>
    <w:rsid w:val="00446705"/>
    <w:rsid w:val="00447059"/>
    <w:rsid w:val="00447A3C"/>
    <w:rsid w:val="00447DAB"/>
    <w:rsid w:val="00447FCA"/>
    <w:rsid w:val="00450602"/>
    <w:rsid w:val="00450B30"/>
    <w:rsid w:val="00451B6F"/>
    <w:rsid w:val="00451C46"/>
    <w:rsid w:val="00452454"/>
    <w:rsid w:val="00452958"/>
    <w:rsid w:val="00452ED4"/>
    <w:rsid w:val="00453A4F"/>
    <w:rsid w:val="0045446B"/>
    <w:rsid w:val="0045532B"/>
    <w:rsid w:val="00455CFF"/>
    <w:rsid w:val="00456AF7"/>
    <w:rsid w:val="00457A15"/>
    <w:rsid w:val="00457CE4"/>
    <w:rsid w:val="004600D7"/>
    <w:rsid w:val="004604A8"/>
    <w:rsid w:val="00460673"/>
    <w:rsid w:val="004607AB"/>
    <w:rsid w:val="0046117C"/>
    <w:rsid w:val="0046122A"/>
    <w:rsid w:val="004617A2"/>
    <w:rsid w:val="004627EE"/>
    <w:rsid w:val="00462FFA"/>
    <w:rsid w:val="0046357D"/>
    <w:rsid w:val="00464C83"/>
    <w:rsid w:val="0046537C"/>
    <w:rsid w:val="0046657A"/>
    <w:rsid w:val="00466B35"/>
    <w:rsid w:val="004670EF"/>
    <w:rsid w:val="004707F8"/>
    <w:rsid w:val="0047114E"/>
    <w:rsid w:val="00471FD5"/>
    <w:rsid w:val="004724DC"/>
    <w:rsid w:val="004739A6"/>
    <w:rsid w:val="00473F7B"/>
    <w:rsid w:val="00474420"/>
    <w:rsid w:val="0047508E"/>
    <w:rsid w:val="004755AE"/>
    <w:rsid w:val="004755B4"/>
    <w:rsid w:val="0047565C"/>
    <w:rsid w:val="00475A40"/>
    <w:rsid w:val="00475BBF"/>
    <w:rsid w:val="00476260"/>
    <w:rsid w:val="00477BAB"/>
    <w:rsid w:val="00477C70"/>
    <w:rsid w:val="00480371"/>
    <w:rsid w:val="00480A12"/>
    <w:rsid w:val="00481208"/>
    <w:rsid w:val="00482052"/>
    <w:rsid w:val="0048295D"/>
    <w:rsid w:val="00482EDA"/>
    <w:rsid w:val="00482F2E"/>
    <w:rsid w:val="00483F6D"/>
    <w:rsid w:val="00484051"/>
    <w:rsid w:val="00484EAC"/>
    <w:rsid w:val="004857D4"/>
    <w:rsid w:val="00485A8A"/>
    <w:rsid w:val="00490123"/>
    <w:rsid w:val="00491DC0"/>
    <w:rsid w:val="004931DB"/>
    <w:rsid w:val="00495522"/>
    <w:rsid w:val="00496881"/>
    <w:rsid w:val="0049695A"/>
    <w:rsid w:val="00497502"/>
    <w:rsid w:val="00497E90"/>
    <w:rsid w:val="004A0CE5"/>
    <w:rsid w:val="004A1003"/>
    <w:rsid w:val="004A22D9"/>
    <w:rsid w:val="004A2A8C"/>
    <w:rsid w:val="004A2E94"/>
    <w:rsid w:val="004A3513"/>
    <w:rsid w:val="004A363F"/>
    <w:rsid w:val="004A43FD"/>
    <w:rsid w:val="004A4F6F"/>
    <w:rsid w:val="004A52C4"/>
    <w:rsid w:val="004A56EE"/>
    <w:rsid w:val="004B0072"/>
    <w:rsid w:val="004B117D"/>
    <w:rsid w:val="004B1334"/>
    <w:rsid w:val="004B197B"/>
    <w:rsid w:val="004B2503"/>
    <w:rsid w:val="004B261A"/>
    <w:rsid w:val="004B2A58"/>
    <w:rsid w:val="004B3DEB"/>
    <w:rsid w:val="004B4508"/>
    <w:rsid w:val="004B4925"/>
    <w:rsid w:val="004B4C76"/>
    <w:rsid w:val="004B5289"/>
    <w:rsid w:val="004B5CAA"/>
    <w:rsid w:val="004B65BC"/>
    <w:rsid w:val="004B7885"/>
    <w:rsid w:val="004B798C"/>
    <w:rsid w:val="004C0F96"/>
    <w:rsid w:val="004C12CE"/>
    <w:rsid w:val="004C1C68"/>
    <w:rsid w:val="004C2365"/>
    <w:rsid w:val="004C28B8"/>
    <w:rsid w:val="004C2921"/>
    <w:rsid w:val="004C3602"/>
    <w:rsid w:val="004C4AB1"/>
    <w:rsid w:val="004C5C09"/>
    <w:rsid w:val="004C6620"/>
    <w:rsid w:val="004C7613"/>
    <w:rsid w:val="004C79CE"/>
    <w:rsid w:val="004C7E88"/>
    <w:rsid w:val="004D0442"/>
    <w:rsid w:val="004D2E1D"/>
    <w:rsid w:val="004D333A"/>
    <w:rsid w:val="004D3860"/>
    <w:rsid w:val="004D4E46"/>
    <w:rsid w:val="004D5117"/>
    <w:rsid w:val="004D5D14"/>
    <w:rsid w:val="004D5FDE"/>
    <w:rsid w:val="004D6976"/>
    <w:rsid w:val="004D7D84"/>
    <w:rsid w:val="004D7DD4"/>
    <w:rsid w:val="004E086F"/>
    <w:rsid w:val="004E0CDA"/>
    <w:rsid w:val="004E14C4"/>
    <w:rsid w:val="004E1E7A"/>
    <w:rsid w:val="004E1F98"/>
    <w:rsid w:val="004E2B89"/>
    <w:rsid w:val="004E3D3D"/>
    <w:rsid w:val="004E45F0"/>
    <w:rsid w:val="004E46BA"/>
    <w:rsid w:val="004E4B97"/>
    <w:rsid w:val="004E4C4A"/>
    <w:rsid w:val="004E4D65"/>
    <w:rsid w:val="004E56FE"/>
    <w:rsid w:val="004E5DA1"/>
    <w:rsid w:val="004E65F0"/>
    <w:rsid w:val="004E6833"/>
    <w:rsid w:val="004E6A9F"/>
    <w:rsid w:val="004E7099"/>
    <w:rsid w:val="004E71DF"/>
    <w:rsid w:val="004E7A45"/>
    <w:rsid w:val="004E7D67"/>
    <w:rsid w:val="004E7E8E"/>
    <w:rsid w:val="004F0258"/>
    <w:rsid w:val="004F0A1A"/>
    <w:rsid w:val="004F0ED1"/>
    <w:rsid w:val="004F1D13"/>
    <w:rsid w:val="004F1E31"/>
    <w:rsid w:val="004F1F3D"/>
    <w:rsid w:val="004F4D27"/>
    <w:rsid w:val="004F545F"/>
    <w:rsid w:val="004F62A7"/>
    <w:rsid w:val="004F7372"/>
    <w:rsid w:val="004F7A8A"/>
    <w:rsid w:val="005002F5"/>
    <w:rsid w:val="00501B5A"/>
    <w:rsid w:val="00502209"/>
    <w:rsid w:val="0050279D"/>
    <w:rsid w:val="0050302C"/>
    <w:rsid w:val="005030D6"/>
    <w:rsid w:val="00504D39"/>
    <w:rsid w:val="00504F56"/>
    <w:rsid w:val="005052D7"/>
    <w:rsid w:val="00506990"/>
    <w:rsid w:val="0050755D"/>
    <w:rsid w:val="005111B1"/>
    <w:rsid w:val="00511464"/>
    <w:rsid w:val="00511875"/>
    <w:rsid w:val="00511D12"/>
    <w:rsid w:val="00511E5B"/>
    <w:rsid w:val="00512084"/>
    <w:rsid w:val="005144BD"/>
    <w:rsid w:val="00514817"/>
    <w:rsid w:val="005159ED"/>
    <w:rsid w:val="005205F9"/>
    <w:rsid w:val="00521BF0"/>
    <w:rsid w:val="00522F37"/>
    <w:rsid w:val="0052362D"/>
    <w:rsid w:val="00525DCE"/>
    <w:rsid w:val="005266B7"/>
    <w:rsid w:val="00527304"/>
    <w:rsid w:val="00530138"/>
    <w:rsid w:val="005314A9"/>
    <w:rsid w:val="00531841"/>
    <w:rsid w:val="0053200C"/>
    <w:rsid w:val="0053227F"/>
    <w:rsid w:val="00532828"/>
    <w:rsid w:val="00532E83"/>
    <w:rsid w:val="005330CA"/>
    <w:rsid w:val="00533B99"/>
    <w:rsid w:val="00534A2F"/>
    <w:rsid w:val="00534C1B"/>
    <w:rsid w:val="00535050"/>
    <w:rsid w:val="00535ADE"/>
    <w:rsid w:val="00535E91"/>
    <w:rsid w:val="0053618D"/>
    <w:rsid w:val="0053651F"/>
    <w:rsid w:val="00536DD9"/>
    <w:rsid w:val="005376F5"/>
    <w:rsid w:val="00537AC1"/>
    <w:rsid w:val="00537B2C"/>
    <w:rsid w:val="005401C9"/>
    <w:rsid w:val="0054091E"/>
    <w:rsid w:val="00540C96"/>
    <w:rsid w:val="00541406"/>
    <w:rsid w:val="00541F52"/>
    <w:rsid w:val="005427CA"/>
    <w:rsid w:val="00543205"/>
    <w:rsid w:val="0054362A"/>
    <w:rsid w:val="00543775"/>
    <w:rsid w:val="00544A03"/>
    <w:rsid w:val="00544D48"/>
    <w:rsid w:val="005456F8"/>
    <w:rsid w:val="00545F06"/>
    <w:rsid w:val="0054640F"/>
    <w:rsid w:val="00547445"/>
    <w:rsid w:val="00547D72"/>
    <w:rsid w:val="00551EB1"/>
    <w:rsid w:val="005520B8"/>
    <w:rsid w:val="00553A6D"/>
    <w:rsid w:val="00554F24"/>
    <w:rsid w:val="00555041"/>
    <w:rsid w:val="005568FA"/>
    <w:rsid w:val="005571A0"/>
    <w:rsid w:val="005577A1"/>
    <w:rsid w:val="005577FD"/>
    <w:rsid w:val="00557BE0"/>
    <w:rsid w:val="00557C46"/>
    <w:rsid w:val="00560284"/>
    <w:rsid w:val="00560FB1"/>
    <w:rsid w:val="005611C9"/>
    <w:rsid w:val="00561ACC"/>
    <w:rsid w:val="005631A5"/>
    <w:rsid w:val="0056440A"/>
    <w:rsid w:val="005651C2"/>
    <w:rsid w:val="0056581E"/>
    <w:rsid w:val="00565C81"/>
    <w:rsid w:val="0056619A"/>
    <w:rsid w:val="00566280"/>
    <w:rsid w:val="005662E4"/>
    <w:rsid w:val="00567305"/>
    <w:rsid w:val="00567CC2"/>
    <w:rsid w:val="005702C6"/>
    <w:rsid w:val="00570519"/>
    <w:rsid w:val="00570D8C"/>
    <w:rsid w:val="00570D8D"/>
    <w:rsid w:val="00572C72"/>
    <w:rsid w:val="00572EE6"/>
    <w:rsid w:val="005733A3"/>
    <w:rsid w:val="00573485"/>
    <w:rsid w:val="00573633"/>
    <w:rsid w:val="0057471B"/>
    <w:rsid w:val="00574C28"/>
    <w:rsid w:val="00574E53"/>
    <w:rsid w:val="005752F0"/>
    <w:rsid w:val="00575A92"/>
    <w:rsid w:val="00575AE5"/>
    <w:rsid w:val="00576DBD"/>
    <w:rsid w:val="0057755D"/>
    <w:rsid w:val="005805CA"/>
    <w:rsid w:val="00581AC5"/>
    <w:rsid w:val="0058279B"/>
    <w:rsid w:val="00583BA1"/>
    <w:rsid w:val="00584D13"/>
    <w:rsid w:val="005855EF"/>
    <w:rsid w:val="00585829"/>
    <w:rsid w:val="005858F9"/>
    <w:rsid w:val="0058602C"/>
    <w:rsid w:val="0058625A"/>
    <w:rsid w:val="00586591"/>
    <w:rsid w:val="005875EA"/>
    <w:rsid w:val="00587A7C"/>
    <w:rsid w:val="00587E76"/>
    <w:rsid w:val="00590652"/>
    <w:rsid w:val="0059080C"/>
    <w:rsid w:val="00590C03"/>
    <w:rsid w:val="00592B38"/>
    <w:rsid w:val="005936B9"/>
    <w:rsid w:val="00593874"/>
    <w:rsid w:val="00593B66"/>
    <w:rsid w:val="00594823"/>
    <w:rsid w:val="00595826"/>
    <w:rsid w:val="005961D3"/>
    <w:rsid w:val="00596623"/>
    <w:rsid w:val="00597113"/>
    <w:rsid w:val="00597EE4"/>
    <w:rsid w:val="005A079B"/>
    <w:rsid w:val="005A0D9E"/>
    <w:rsid w:val="005A1074"/>
    <w:rsid w:val="005A1171"/>
    <w:rsid w:val="005A2EB9"/>
    <w:rsid w:val="005A36FD"/>
    <w:rsid w:val="005A61A4"/>
    <w:rsid w:val="005A64CB"/>
    <w:rsid w:val="005A650A"/>
    <w:rsid w:val="005A660A"/>
    <w:rsid w:val="005A7983"/>
    <w:rsid w:val="005A7E62"/>
    <w:rsid w:val="005B0F5D"/>
    <w:rsid w:val="005B16DC"/>
    <w:rsid w:val="005B2301"/>
    <w:rsid w:val="005B3C32"/>
    <w:rsid w:val="005B5837"/>
    <w:rsid w:val="005B7687"/>
    <w:rsid w:val="005C09D7"/>
    <w:rsid w:val="005C3FC5"/>
    <w:rsid w:val="005C441B"/>
    <w:rsid w:val="005C4778"/>
    <w:rsid w:val="005C5129"/>
    <w:rsid w:val="005C5454"/>
    <w:rsid w:val="005C5519"/>
    <w:rsid w:val="005C5887"/>
    <w:rsid w:val="005C59F1"/>
    <w:rsid w:val="005C5DE4"/>
    <w:rsid w:val="005C7286"/>
    <w:rsid w:val="005C7303"/>
    <w:rsid w:val="005C7368"/>
    <w:rsid w:val="005D0EC2"/>
    <w:rsid w:val="005D2CB1"/>
    <w:rsid w:val="005D2EC5"/>
    <w:rsid w:val="005D476E"/>
    <w:rsid w:val="005D5654"/>
    <w:rsid w:val="005D696C"/>
    <w:rsid w:val="005D6A4D"/>
    <w:rsid w:val="005E0964"/>
    <w:rsid w:val="005E0DB4"/>
    <w:rsid w:val="005E0EEA"/>
    <w:rsid w:val="005E27D0"/>
    <w:rsid w:val="005E2843"/>
    <w:rsid w:val="005E303E"/>
    <w:rsid w:val="005E31AD"/>
    <w:rsid w:val="005E325B"/>
    <w:rsid w:val="005E32D9"/>
    <w:rsid w:val="005E333A"/>
    <w:rsid w:val="005E440C"/>
    <w:rsid w:val="005E45A9"/>
    <w:rsid w:val="005E4E50"/>
    <w:rsid w:val="005E5394"/>
    <w:rsid w:val="005E58DC"/>
    <w:rsid w:val="005E5C52"/>
    <w:rsid w:val="005E74BA"/>
    <w:rsid w:val="005E7E1B"/>
    <w:rsid w:val="005F23CE"/>
    <w:rsid w:val="005F3230"/>
    <w:rsid w:val="005F430D"/>
    <w:rsid w:val="005F4C9C"/>
    <w:rsid w:val="005F4F18"/>
    <w:rsid w:val="005F4FBA"/>
    <w:rsid w:val="005F573C"/>
    <w:rsid w:val="005F59B5"/>
    <w:rsid w:val="005F5B14"/>
    <w:rsid w:val="005F5C71"/>
    <w:rsid w:val="005F6A8B"/>
    <w:rsid w:val="005F77FC"/>
    <w:rsid w:val="006014DC"/>
    <w:rsid w:val="00601C3C"/>
    <w:rsid w:val="00603B7D"/>
    <w:rsid w:val="00604400"/>
    <w:rsid w:val="006048D6"/>
    <w:rsid w:val="0060500F"/>
    <w:rsid w:val="0060525A"/>
    <w:rsid w:val="0060535D"/>
    <w:rsid w:val="00605818"/>
    <w:rsid w:val="006069DF"/>
    <w:rsid w:val="00606A24"/>
    <w:rsid w:val="00606B4F"/>
    <w:rsid w:val="00607C08"/>
    <w:rsid w:val="00607F9C"/>
    <w:rsid w:val="00610C6C"/>
    <w:rsid w:val="00611989"/>
    <w:rsid w:val="00612767"/>
    <w:rsid w:val="0061323D"/>
    <w:rsid w:val="00614B92"/>
    <w:rsid w:val="00614F41"/>
    <w:rsid w:val="00615154"/>
    <w:rsid w:val="006163F1"/>
    <w:rsid w:val="00616CEF"/>
    <w:rsid w:val="00617259"/>
    <w:rsid w:val="00620552"/>
    <w:rsid w:val="00621DCE"/>
    <w:rsid w:val="0062322A"/>
    <w:rsid w:val="006232E2"/>
    <w:rsid w:val="006245E0"/>
    <w:rsid w:val="006253A2"/>
    <w:rsid w:val="006256B2"/>
    <w:rsid w:val="006266EC"/>
    <w:rsid w:val="00626E3E"/>
    <w:rsid w:val="00626FD7"/>
    <w:rsid w:val="00627993"/>
    <w:rsid w:val="00627D66"/>
    <w:rsid w:val="00627F0B"/>
    <w:rsid w:val="0063016C"/>
    <w:rsid w:val="00631C48"/>
    <w:rsid w:val="00632DC8"/>
    <w:rsid w:val="00633771"/>
    <w:rsid w:val="00633A96"/>
    <w:rsid w:val="006359F2"/>
    <w:rsid w:val="00636087"/>
    <w:rsid w:val="00636951"/>
    <w:rsid w:val="00636A41"/>
    <w:rsid w:val="0063738D"/>
    <w:rsid w:val="00637441"/>
    <w:rsid w:val="006375F5"/>
    <w:rsid w:val="006414AF"/>
    <w:rsid w:val="006418F4"/>
    <w:rsid w:val="00641A48"/>
    <w:rsid w:val="00641B53"/>
    <w:rsid w:val="00641D2B"/>
    <w:rsid w:val="00641F4F"/>
    <w:rsid w:val="006426FC"/>
    <w:rsid w:val="00643D86"/>
    <w:rsid w:val="00644ABA"/>
    <w:rsid w:val="00645378"/>
    <w:rsid w:val="006462AD"/>
    <w:rsid w:val="00646DE6"/>
    <w:rsid w:val="006471DF"/>
    <w:rsid w:val="00647A3A"/>
    <w:rsid w:val="006512D9"/>
    <w:rsid w:val="0065139E"/>
    <w:rsid w:val="00651D28"/>
    <w:rsid w:val="00652939"/>
    <w:rsid w:val="0065377B"/>
    <w:rsid w:val="00653A55"/>
    <w:rsid w:val="00654CA9"/>
    <w:rsid w:val="006559EE"/>
    <w:rsid w:val="00655BA5"/>
    <w:rsid w:val="00655ECE"/>
    <w:rsid w:val="00655F8A"/>
    <w:rsid w:val="00656CC8"/>
    <w:rsid w:val="006574D3"/>
    <w:rsid w:val="00657BE5"/>
    <w:rsid w:val="00657D16"/>
    <w:rsid w:val="00657FE4"/>
    <w:rsid w:val="00660D62"/>
    <w:rsid w:val="0066238A"/>
    <w:rsid w:val="006640F7"/>
    <w:rsid w:val="00664273"/>
    <w:rsid w:val="006647B4"/>
    <w:rsid w:val="00664F11"/>
    <w:rsid w:val="006651EA"/>
    <w:rsid w:val="006654FB"/>
    <w:rsid w:val="0066578D"/>
    <w:rsid w:val="00665B00"/>
    <w:rsid w:val="006667F0"/>
    <w:rsid w:val="00667592"/>
    <w:rsid w:val="00667C76"/>
    <w:rsid w:val="00670287"/>
    <w:rsid w:val="006704DF"/>
    <w:rsid w:val="00671AF7"/>
    <w:rsid w:val="00671BE1"/>
    <w:rsid w:val="00672962"/>
    <w:rsid w:val="00672BD8"/>
    <w:rsid w:val="00673DFA"/>
    <w:rsid w:val="00675AA9"/>
    <w:rsid w:val="00675C7F"/>
    <w:rsid w:val="0067704D"/>
    <w:rsid w:val="00680E83"/>
    <w:rsid w:val="0068345C"/>
    <w:rsid w:val="0068356A"/>
    <w:rsid w:val="00683FA8"/>
    <w:rsid w:val="0068520E"/>
    <w:rsid w:val="0068535A"/>
    <w:rsid w:val="00685C83"/>
    <w:rsid w:val="00686424"/>
    <w:rsid w:val="00687096"/>
    <w:rsid w:val="00687230"/>
    <w:rsid w:val="00687357"/>
    <w:rsid w:val="006901B1"/>
    <w:rsid w:val="00690C67"/>
    <w:rsid w:val="00691224"/>
    <w:rsid w:val="00691C53"/>
    <w:rsid w:val="00691D5E"/>
    <w:rsid w:val="00692C9A"/>
    <w:rsid w:val="0069355F"/>
    <w:rsid w:val="00693835"/>
    <w:rsid w:val="006938CC"/>
    <w:rsid w:val="006952FD"/>
    <w:rsid w:val="006965FC"/>
    <w:rsid w:val="00696C4D"/>
    <w:rsid w:val="00697701"/>
    <w:rsid w:val="00697842"/>
    <w:rsid w:val="00697E6D"/>
    <w:rsid w:val="006A1C10"/>
    <w:rsid w:val="006A2C32"/>
    <w:rsid w:val="006A3B6D"/>
    <w:rsid w:val="006A4223"/>
    <w:rsid w:val="006A4805"/>
    <w:rsid w:val="006A5C4F"/>
    <w:rsid w:val="006A628A"/>
    <w:rsid w:val="006A6A47"/>
    <w:rsid w:val="006A7AD6"/>
    <w:rsid w:val="006B10A3"/>
    <w:rsid w:val="006B1214"/>
    <w:rsid w:val="006B3C92"/>
    <w:rsid w:val="006B5929"/>
    <w:rsid w:val="006B5A81"/>
    <w:rsid w:val="006B5B61"/>
    <w:rsid w:val="006C12D2"/>
    <w:rsid w:val="006C18CC"/>
    <w:rsid w:val="006C4CAC"/>
    <w:rsid w:val="006C4EB7"/>
    <w:rsid w:val="006C5813"/>
    <w:rsid w:val="006C6C71"/>
    <w:rsid w:val="006C7161"/>
    <w:rsid w:val="006D07B1"/>
    <w:rsid w:val="006D13DD"/>
    <w:rsid w:val="006D1B73"/>
    <w:rsid w:val="006D1B97"/>
    <w:rsid w:val="006D1E6D"/>
    <w:rsid w:val="006D1EF8"/>
    <w:rsid w:val="006D24F2"/>
    <w:rsid w:val="006D4972"/>
    <w:rsid w:val="006D4A03"/>
    <w:rsid w:val="006D5618"/>
    <w:rsid w:val="006D59EC"/>
    <w:rsid w:val="006D5F65"/>
    <w:rsid w:val="006D6225"/>
    <w:rsid w:val="006D66C8"/>
    <w:rsid w:val="006D67F2"/>
    <w:rsid w:val="006D7459"/>
    <w:rsid w:val="006D7D01"/>
    <w:rsid w:val="006D7E7E"/>
    <w:rsid w:val="006E1339"/>
    <w:rsid w:val="006E150A"/>
    <w:rsid w:val="006E1FC7"/>
    <w:rsid w:val="006E2C16"/>
    <w:rsid w:val="006E2D27"/>
    <w:rsid w:val="006E3902"/>
    <w:rsid w:val="006E3BFF"/>
    <w:rsid w:val="006E3C60"/>
    <w:rsid w:val="006E3E78"/>
    <w:rsid w:val="006E4FEB"/>
    <w:rsid w:val="006E565F"/>
    <w:rsid w:val="006E789C"/>
    <w:rsid w:val="006E790A"/>
    <w:rsid w:val="006E7CCF"/>
    <w:rsid w:val="006F0403"/>
    <w:rsid w:val="006F070D"/>
    <w:rsid w:val="006F09E7"/>
    <w:rsid w:val="006F1344"/>
    <w:rsid w:val="006F1713"/>
    <w:rsid w:val="006F1E24"/>
    <w:rsid w:val="006F1E73"/>
    <w:rsid w:val="006F2395"/>
    <w:rsid w:val="006F2D04"/>
    <w:rsid w:val="006F310E"/>
    <w:rsid w:val="006F3899"/>
    <w:rsid w:val="006F3CBB"/>
    <w:rsid w:val="006F3D4B"/>
    <w:rsid w:val="006F3F40"/>
    <w:rsid w:val="006F3FE0"/>
    <w:rsid w:val="006F4506"/>
    <w:rsid w:val="006F4F14"/>
    <w:rsid w:val="006F525D"/>
    <w:rsid w:val="006F7924"/>
    <w:rsid w:val="006F7A83"/>
    <w:rsid w:val="006F7FDF"/>
    <w:rsid w:val="007006D2"/>
    <w:rsid w:val="00701472"/>
    <w:rsid w:val="007015FC"/>
    <w:rsid w:val="00701CCF"/>
    <w:rsid w:val="00701E75"/>
    <w:rsid w:val="007020C7"/>
    <w:rsid w:val="007023E4"/>
    <w:rsid w:val="00702B67"/>
    <w:rsid w:val="00703AF9"/>
    <w:rsid w:val="0070521E"/>
    <w:rsid w:val="00705814"/>
    <w:rsid w:val="00706DC2"/>
    <w:rsid w:val="00707C3F"/>
    <w:rsid w:val="00710230"/>
    <w:rsid w:val="00711060"/>
    <w:rsid w:val="00712DD3"/>
    <w:rsid w:val="0071360A"/>
    <w:rsid w:val="00714483"/>
    <w:rsid w:val="007147CB"/>
    <w:rsid w:val="00714CE7"/>
    <w:rsid w:val="00714E32"/>
    <w:rsid w:val="00714EF5"/>
    <w:rsid w:val="00715869"/>
    <w:rsid w:val="00715BA9"/>
    <w:rsid w:val="00716F35"/>
    <w:rsid w:val="00720544"/>
    <w:rsid w:val="0072081B"/>
    <w:rsid w:val="00721585"/>
    <w:rsid w:val="007216E6"/>
    <w:rsid w:val="00721CBA"/>
    <w:rsid w:val="0072249E"/>
    <w:rsid w:val="00723D67"/>
    <w:rsid w:val="0072401D"/>
    <w:rsid w:val="007266B8"/>
    <w:rsid w:val="00726808"/>
    <w:rsid w:val="00727768"/>
    <w:rsid w:val="00727DF2"/>
    <w:rsid w:val="007304A8"/>
    <w:rsid w:val="0073078B"/>
    <w:rsid w:val="00730AD8"/>
    <w:rsid w:val="00730CCE"/>
    <w:rsid w:val="00731327"/>
    <w:rsid w:val="007338E9"/>
    <w:rsid w:val="00733BB8"/>
    <w:rsid w:val="00734A73"/>
    <w:rsid w:val="00734E2E"/>
    <w:rsid w:val="00734EB4"/>
    <w:rsid w:val="00735930"/>
    <w:rsid w:val="00735941"/>
    <w:rsid w:val="00740F3B"/>
    <w:rsid w:val="00741589"/>
    <w:rsid w:val="00741AE0"/>
    <w:rsid w:val="007420FA"/>
    <w:rsid w:val="007438F0"/>
    <w:rsid w:val="00743B12"/>
    <w:rsid w:val="0074447B"/>
    <w:rsid w:val="007448B2"/>
    <w:rsid w:val="0074505B"/>
    <w:rsid w:val="0074530F"/>
    <w:rsid w:val="0074575F"/>
    <w:rsid w:val="00746FC4"/>
    <w:rsid w:val="007470E9"/>
    <w:rsid w:val="0074736F"/>
    <w:rsid w:val="007479E3"/>
    <w:rsid w:val="0075146C"/>
    <w:rsid w:val="0075178D"/>
    <w:rsid w:val="00752274"/>
    <w:rsid w:val="007523DF"/>
    <w:rsid w:val="00752CF6"/>
    <w:rsid w:val="007530E4"/>
    <w:rsid w:val="00753169"/>
    <w:rsid w:val="00753849"/>
    <w:rsid w:val="007542A5"/>
    <w:rsid w:val="00754904"/>
    <w:rsid w:val="0075557F"/>
    <w:rsid w:val="007559E0"/>
    <w:rsid w:val="00757195"/>
    <w:rsid w:val="0075786B"/>
    <w:rsid w:val="00757A9A"/>
    <w:rsid w:val="00760CFF"/>
    <w:rsid w:val="007626D9"/>
    <w:rsid w:val="00762AAF"/>
    <w:rsid w:val="00762E99"/>
    <w:rsid w:val="00764032"/>
    <w:rsid w:val="00764125"/>
    <w:rsid w:val="0076683F"/>
    <w:rsid w:val="00767CED"/>
    <w:rsid w:val="007703BA"/>
    <w:rsid w:val="00770A8B"/>
    <w:rsid w:val="00770B36"/>
    <w:rsid w:val="007738EC"/>
    <w:rsid w:val="00773ED2"/>
    <w:rsid w:val="00775F6D"/>
    <w:rsid w:val="00776178"/>
    <w:rsid w:val="007764BB"/>
    <w:rsid w:val="00776A15"/>
    <w:rsid w:val="00776A2E"/>
    <w:rsid w:val="007775D3"/>
    <w:rsid w:val="00777747"/>
    <w:rsid w:val="00777AFF"/>
    <w:rsid w:val="00780206"/>
    <w:rsid w:val="00780D95"/>
    <w:rsid w:val="00783473"/>
    <w:rsid w:val="007839C2"/>
    <w:rsid w:val="00783F11"/>
    <w:rsid w:val="00785DAD"/>
    <w:rsid w:val="00787359"/>
    <w:rsid w:val="007873B7"/>
    <w:rsid w:val="00787EE9"/>
    <w:rsid w:val="007913CC"/>
    <w:rsid w:val="0079454F"/>
    <w:rsid w:val="00794C3D"/>
    <w:rsid w:val="00794D13"/>
    <w:rsid w:val="00795E68"/>
    <w:rsid w:val="00796207"/>
    <w:rsid w:val="00796280"/>
    <w:rsid w:val="007971B9"/>
    <w:rsid w:val="007A0920"/>
    <w:rsid w:val="007A0DF8"/>
    <w:rsid w:val="007A15B3"/>
    <w:rsid w:val="007A2308"/>
    <w:rsid w:val="007A402D"/>
    <w:rsid w:val="007A492E"/>
    <w:rsid w:val="007A5BBF"/>
    <w:rsid w:val="007A64F1"/>
    <w:rsid w:val="007A66E2"/>
    <w:rsid w:val="007A7FA8"/>
    <w:rsid w:val="007B12D0"/>
    <w:rsid w:val="007B2E0B"/>
    <w:rsid w:val="007B4772"/>
    <w:rsid w:val="007B539F"/>
    <w:rsid w:val="007B563B"/>
    <w:rsid w:val="007B5B03"/>
    <w:rsid w:val="007B6129"/>
    <w:rsid w:val="007B6A95"/>
    <w:rsid w:val="007B6C59"/>
    <w:rsid w:val="007B6CD9"/>
    <w:rsid w:val="007C08E0"/>
    <w:rsid w:val="007C0AE8"/>
    <w:rsid w:val="007C0E89"/>
    <w:rsid w:val="007C1797"/>
    <w:rsid w:val="007C196E"/>
    <w:rsid w:val="007C1A32"/>
    <w:rsid w:val="007C1E85"/>
    <w:rsid w:val="007C3901"/>
    <w:rsid w:val="007C3E43"/>
    <w:rsid w:val="007C41D6"/>
    <w:rsid w:val="007C6C2F"/>
    <w:rsid w:val="007C6F60"/>
    <w:rsid w:val="007D00B6"/>
    <w:rsid w:val="007D05BA"/>
    <w:rsid w:val="007D1734"/>
    <w:rsid w:val="007D352B"/>
    <w:rsid w:val="007D35D5"/>
    <w:rsid w:val="007D5214"/>
    <w:rsid w:val="007D54EF"/>
    <w:rsid w:val="007D5990"/>
    <w:rsid w:val="007D5B85"/>
    <w:rsid w:val="007D5C47"/>
    <w:rsid w:val="007D6AC5"/>
    <w:rsid w:val="007D7408"/>
    <w:rsid w:val="007D7693"/>
    <w:rsid w:val="007E0265"/>
    <w:rsid w:val="007E08DE"/>
    <w:rsid w:val="007E203E"/>
    <w:rsid w:val="007E20AA"/>
    <w:rsid w:val="007E24F3"/>
    <w:rsid w:val="007E2C7D"/>
    <w:rsid w:val="007E2D84"/>
    <w:rsid w:val="007E2FFB"/>
    <w:rsid w:val="007E3517"/>
    <w:rsid w:val="007E3645"/>
    <w:rsid w:val="007E500D"/>
    <w:rsid w:val="007E7A96"/>
    <w:rsid w:val="007E7DE0"/>
    <w:rsid w:val="007E7F06"/>
    <w:rsid w:val="007F219E"/>
    <w:rsid w:val="007F29AB"/>
    <w:rsid w:val="007F38CB"/>
    <w:rsid w:val="007F4120"/>
    <w:rsid w:val="007F4374"/>
    <w:rsid w:val="007F51AC"/>
    <w:rsid w:val="007F55E0"/>
    <w:rsid w:val="007F7120"/>
    <w:rsid w:val="007F7E7F"/>
    <w:rsid w:val="00800203"/>
    <w:rsid w:val="0080077C"/>
    <w:rsid w:val="00800B0D"/>
    <w:rsid w:val="008011E2"/>
    <w:rsid w:val="0080136A"/>
    <w:rsid w:val="00801B43"/>
    <w:rsid w:val="008028A6"/>
    <w:rsid w:val="00802911"/>
    <w:rsid w:val="00803937"/>
    <w:rsid w:val="00804963"/>
    <w:rsid w:val="00804F19"/>
    <w:rsid w:val="008053CC"/>
    <w:rsid w:val="00805BC8"/>
    <w:rsid w:val="00806024"/>
    <w:rsid w:val="0080613E"/>
    <w:rsid w:val="00810AD4"/>
    <w:rsid w:val="00812A0C"/>
    <w:rsid w:val="00812A7A"/>
    <w:rsid w:val="00814C1A"/>
    <w:rsid w:val="00814C1B"/>
    <w:rsid w:val="008153AE"/>
    <w:rsid w:val="00815668"/>
    <w:rsid w:val="00817BF7"/>
    <w:rsid w:val="008202E1"/>
    <w:rsid w:val="00821D39"/>
    <w:rsid w:val="00822344"/>
    <w:rsid w:val="00822713"/>
    <w:rsid w:val="00823A80"/>
    <w:rsid w:val="00824FCA"/>
    <w:rsid w:val="0082680E"/>
    <w:rsid w:val="00826947"/>
    <w:rsid w:val="00826F48"/>
    <w:rsid w:val="00826F63"/>
    <w:rsid w:val="00827921"/>
    <w:rsid w:val="00827C8F"/>
    <w:rsid w:val="00827EC7"/>
    <w:rsid w:val="0083006E"/>
    <w:rsid w:val="008301DF"/>
    <w:rsid w:val="008306FF"/>
    <w:rsid w:val="00830CD7"/>
    <w:rsid w:val="00830CEB"/>
    <w:rsid w:val="00831460"/>
    <w:rsid w:val="00831549"/>
    <w:rsid w:val="0083261C"/>
    <w:rsid w:val="00832659"/>
    <w:rsid w:val="0083276C"/>
    <w:rsid w:val="0083394E"/>
    <w:rsid w:val="00834320"/>
    <w:rsid w:val="00834382"/>
    <w:rsid w:val="00834667"/>
    <w:rsid w:val="008352E4"/>
    <w:rsid w:val="008357AA"/>
    <w:rsid w:val="00835DE3"/>
    <w:rsid w:val="00835F81"/>
    <w:rsid w:val="00836260"/>
    <w:rsid w:val="00836B53"/>
    <w:rsid w:val="008425D7"/>
    <w:rsid w:val="0084344C"/>
    <w:rsid w:val="008453F2"/>
    <w:rsid w:val="00845CA7"/>
    <w:rsid w:val="00846541"/>
    <w:rsid w:val="00846CA9"/>
    <w:rsid w:val="0084729F"/>
    <w:rsid w:val="008472E2"/>
    <w:rsid w:val="008473DF"/>
    <w:rsid w:val="00847E5A"/>
    <w:rsid w:val="008528A7"/>
    <w:rsid w:val="0085315C"/>
    <w:rsid w:val="00854151"/>
    <w:rsid w:val="00855C92"/>
    <w:rsid w:val="00855D8F"/>
    <w:rsid w:val="008563A5"/>
    <w:rsid w:val="00857119"/>
    <w:rsid w:val="008572ED"/>
    <w:rsid w:val="00857D61"/>
    <w:rsid w:val="00857EA4"/>
    <w:rsid w:val="00860C28"/>
    <w:rsid w:val="008612FE"/>
    <w:rsid w:val="0086264F"/>
    <w:rsid w:val="00862797"/>
    <w:rsid w:val="00863F41"/>
    <w:rsid w:val="0086400C"/>
    <w:rsid w:val="0086439E"/>
    <w:rsid w:val="008643B7"/>
    <w:rsid w:val="00864719"/>
    <w:rsid w:val="00864D30"/>
    <w:rsid w:val="00866A16"/>
    <w:rsid w:val="00866D7F"/>
    <w:rsid w:val="00867532"/>
    <w:rsid w:val="008675C4"/>
    <w:rsid w:val="00867CAE"/>
    <w:rsid w:val="00867D59"/>
    <w:rsid w:val="00870B51"/>
    <w:rsid w:val="008710A4"/>
    <w:rsid w:val="00871425"/>
    <w:rsid w:val="008730E5"/>
    <w:rsid w:val="00873E9C"/>
    <w:rsid w:val="00873FF1"/>
    <w:rsid w:val="008744BB"/>
    <w:rsid w:val="00874D00"/>
    <w:rsid w:val="00875AB8"/>
    <w:rsid w:val="00876557"/>
    <w:rsid w:val="008765C3"/>
    <w:rsid w:val="00876C47"/>
    <w:rsid w:val="0087773A"/>
    <w:rsid w:val="00880417"/>
    <w:rsid w:val="00880F83"/>
    <w:rsid w:val="00881C86"/>
    <w:rsid w:val="008822CC"/>
    <w:rsid w:val="008835EA"/>
    <w:rsid w:val="00883C84"/>
    <w:rsid w:val="00884693"/>
    <w:rsid w:val="00884C42"/>
    <w:rsid w:val="0088510B"/>
    <w:rsid w:val="00885246"/>
    <w:rsid w:val="00885DFB"/>
    <w:rsid w:val="00886813"/>
    <w:rsid w:val="00886E01"/>
    <w:rsid w:val="00887632"/>
    <w:rsid w:val="00887799"/>
    <w:rsid w:val="008900AD"/>
    <w:rsid w:val="008902EF"/>
    <w:rsid w:val="00890636"/>
    <w:rsid w:val="00890B39"/>
    <w:rsid w:val="008939B1"/>
    <w:rsid w:val="00894A0A"/>
    <w:rsid w:val="0089503B"/>
    <w:rsid w:val="00895242"/>
    <w:rsid w:val="008952C7"/>
    <w:rsid w:val="00895867"/>
    <w:rsid w:val="00896436"/>
    <w:rsid w:val="00897612"/>
    <w:rsid w:val="00897701"/>
    <w:rsid w:val="008A038B"/>
    <w:rsid w:val="008A0684"/>
    <w:rsid w:val="008A1227"/>
    <w:rsid w:val="008A1A75"/>
    <w:rsid w:val="008A1D74"/>
    <w:rsid w:val="008A39A5"/>
    <w:rsid w:val="008A3C6B"/>
    <w:rsid w:val="008A4E40"/>
    <w:rsid w:val="008A62D2"/>
    <w:rsid w:val="008A62E2"/>
    <w:rsid w:val="008A6F1E"/>
    <w:rsid w:val="008B0533"/>
    <w:rsid w:val="008B09D9"/>
    <w:rsid w:val="008B0B4A"/>
    <w:rsid w:val="008B0D4C"/>
    <w:rsid w:val="008B0FD4"/>
    <w:rsid w:val="008B10F7"/>
    <w:rsid w:val="008B17FD"/>
    <w:rsid w:val="008B2DDD"/>
    <w:rsid w:val="008B3D05"/>
    <w:rsid w:val="008B450E"/>
    <w:rsid w:val="008B47E5"/>
    <w:rsid w:val="008B5050"/>
    <w:rsid w:val="008B5222"/>
    <w:rsid w:val="008B52D2"/>
    <w:rsid w:val="008B5995"/>
    <w:rsid w:val="008B736E"/>
    <w:rsid w:val="008B743A"/>
    <w:rsid w:val="008C069A"/>
    <w:rsid w:val="008C06BE"/>
    <w:rsid w:val="008C0CB5"/>
    <w:rsid w:val="008C1358"/>
    <w:rsid w:val="008C1E66"/>
    <w:rsid w:val="008C1EA1"/>
    <w:rsid w:val="008C3837"/>
    <w:rsid w:val="008C38C4"/>
    <w:rsid w:val="008C40C1"/>
    <w:rsid w:val="008C5DD1"/>
    <w:rsid w:val="008C5E76"/>
    <w:rsid w:val="008C6992"/>
    <w:rsid w:val="008C72DE"/>
    <w:rsid w:val="008C7603"/>
    <w:rsid w:val="008D100C"/>
    <w:rsid w:val="008D2CD3"/>
    <w:rsid w:val="008D3067"/>
    <w:rsid w:val="008D3120"/>
    <w:rsid w:val="008D37FD"/>
    <w:rsid w:val="008D38EA"/>
    <w:rsid w:val="008D3E60"/>
    <w:rsid w:val="008D53F8"/>
    <w:rsid w:val="008D589C"/>
    <w:rsid w:val="008D59A1"/>
    <w:rsid w:val="008D5CBD"/>
    <w:rsid w:val="008D6EA8"/>
    <w:rsid w:val="008D6F87"/>
    <w:rsid w:val="008D75C2"/>
    <w:rsid w:val="008D790B"/>
    <w:rsid w:val="008E13FE"/>
    <w:rsid w:val="008E1569"/>
    <w:rsid w:val="008E1D68"/>
    <w:rsid w:val="008E29DC"/>
    <w:rsid w:val="008E3077"/>
    <w:rsid w:val="008E4FFD"/>
    <w:rsid w:val="008E518A"/>
    <w:rsid w:val="008E5A64"/>
    <w:rsid w:val="008E764E"/>
    <w:rsid w:val="008F0D33"/>
    <w:rsid w:val="008F0EA8"/>
    <w:rsid w:val="008F12CB"/>
    <w:rsid w:val="008F2DAB"/>
    <w:rsid w:val="008F31F6"/>
    <w:rsid w:val="008F3293"/>
    <w:rsid w:val="008F3523"/>
    <w:rsid w:val="008F3611"/>
    <w:rsid w:val="008F3738"/>
    <w:rsid w:val="008F4D28"/>
    <w:rsid w:val="008F63CC"/>
    <w:rsid w:val="008F6A09"/>
    <w:rsid w:val="008F756B"/>
    <w:rsid w:val="008F7DF8"/>
    <w:rsid w:val="008F7E74"/>
    <w:rsid w:val="009015C6"/>
    <w:rsid w:val="00902F69"/>
    <w:rsid w:val="0090397B"/>
    <w:rsid w:val="00903B5E"/>
    <w:rsid w:val="009054F6"/>
    <w:rsid w:val="00905FF3"/>
    <w:rsid w:val="0090600E"/>
    <w:rsid w:val="009067C1"/>
    <w:rsid w:val="00907082"/>
    <w:rsid w:val="00907D2C"/>
    <w:rsid w:val="00907E58"/>
    <w:rsid w:val="00912A3F"/>
    <w:rsid w:val="00912B6D"/>
    <w:rsid w:val="0091442D"/>
    <w:rsid w:val="00915856"/>
    <w:rsid w:val="009160E3"/>
    <w:rsid w:val="00916284"/>
    <w:rsid w:val="00920C7B"/>
    <w:rsid w:val="00921341"/>
    <w:rsid w:val="009236F6"/>
    <w:rsid w:val="00923A89"/>
    <w:rsid w:val="00923C55"/>
    <w:rsid w:val="00923EA8"/>
    <w:rsid w:val="00924026"/>
    <w:rsid w:val="00924058"/>
    <w:rsid w:val="0092415E"/>
    <w:rsid w:val="0092496B"/>
    <w:rsid w:val="00924F37"/>
    <w:rsid w:val="009259F6"/>
    <w:rsid w:val="0092796B"/>
    <w:rsid w:val="0093063B"/>
    <w:rsid w:val="00930A0E"/>
    <w:rsid w:val="00930E67"/>
    <w:rsid w:val="00931CC6"/>
    <w:rsid w:val="00932DAB"/>
    <w:rsid w:val="00933741"/>
    <w:rsid w:val="009338FE"/>
    <w:rsid w:val="009342B7"/>
    <w:rsid w:val="00934309"/>
    <w:rsid w:val="009360E3"/>
    <w:rsid w:val="00936577"/>
    <w:rsid w:val="00936850"/>
    <w:rsid w:val="009379AF"/>
    <w:rsid w:val="00940696"/>
    <w:rsid w:val="0094097F"/>
    <w:rsid w:val="009417B5"/>
    <w:rsid w:val="00941C88"/>
    <w:rsid w:val="009428BF"/>
    <w:rsid w:val="00942CD1"/>
    <w:rsid w:val="00942F3A"/>
    <w:rsid w:val="009432FE"/>
    <w:rsid w:val="00943DCF"/>
    <w:rsid w:val="00944641"/>
    <w:rsid w:val="0094476A"/>
    <w:rsid w:val="00945337"/>
    <w:rsid w:val="009455BD"/>
    <w:rsid w:val="00945F35"/>
    <w:rsid w:val="00947B7D"/>
    <w:rsid w:val="0095075A"/>
    <w:rsid w:val="00950DE1"/>
    <w:rsid w:val="0095133C"/>
    <w:rsid w:val="00951E29"/>
    <w:rsid w:val="00951E2C"/>
    <w:rsid w:val="009522CD"/>
    <w:rsid w:val="00952828"/>
    <w:rsid w:val="00952CED"/>
    <w:rsid w:val="00953AF7"/>
    <w:rsid w:val="00954818"/>
    <w:rsid w:val="00954DE0"/>
    <w:rsid w:val="00955986"/>
    <w:rsid w:val="0095796F"/>
    <w:rsid w:val="00957B64"/>
    <w:rsid w:val="00957EAB"/>
    <w:rsid w:val="00960917"/>
    <w:rsid w:val="00961C90"/>
    <w:rsid w:val="009623E1"/>
    <w:rsid w:val="0096376F"/>
    <w:rsid w:val="009638C1"/>
    <w:rsid w:val="009644DB"/>
    <w:rsid w:val="00964853"/>
    <w:rsid w:val="00965822"/>
    <w:rsid w:val="0096585D"/>
    <w:rsid w:val="00965FE4"/>
    <w:rsid w:val="00966082"/>
    <w:rsid w:val="009664F9"/>
    <w:rsid w:val="0097044D"/>
    <w:rsid w:val="00970A1C"/>
    <w:rsid w:val="009715F7"/>
    <w:rsid w:val="00971BA7"/>
    <w:rsid w:val="00972F82"/>
    <w:rsid w:val="00973042"/>
    <w:rsid w:val="009731FE"/>
    <w:rsid w:val="00973240"/>
    <w:rsid w:val="00974642"/>
    <w:rsid w:val="0097663F"/>
    <w:rsid w:val="00976D4A"/>
    <w:rsid w:val="0098162C"/>
    <w:rsid w:val="0098166F"/>
    <w:rsid w:val="009816F8"/>
    <w:rsid w:val="0098191E"/>
    <w:rsid w:val="00981EB2"/>
    <w:rsid w:val="00982A5C"/>
    <w:rsid w:val="009832B6"/>
    <w:rsid w:val="0098346A"/>
    <w:rsid w:val="0098361D"/>
    <w:rsid w:val="009839F3"/>
    <w:rsid w:val="00983BD5"/>
    <w:rsid w:val="00983E12"/>
    <w:rsid w:val="00985557"/>
    <w:rsid w:val="00985CE4"/>
    <w:rsid w:val="00985D26"/>
    <w:rsid w:val="0098628F"/>
    <w:rsid w:val="009862A8"/>
    <w:rsid w:val="00986C0C"/>
    <w:rsid w:val="00990104"/>
    <w:rsid w:val="009904D5"/>
    <w:rsid w:val="00990AEC"/>
    <w:rsid w:val="00990FC6"/>
    <w:rsid w:val="0099120E"/>
    <w:rsid w:val="00991A5B"/>
    <w:rsid w:val="00991FA0"/>
    <w:rsid w:val="0099220E"/>
    <w:rsid w:val="009928BB"/>
    <w:rsid w:val="00993967"/>
    <w:rsid w:val="00994822"/>
    <w:rsid w:val="00994D22"/>
    <w:rsid w:val="0099576F"/>
    <w:rsid w:val="00995BED"/>
    <w:rsid w:val="0099602C"/>
    <w:rsid w:val="00996590"/>
    <w:rsid w:val="009967E4"/>
    <w:rsid w:val="009968FB"/>
    <w:rsid w:val="009977C0"/>
    <w:rsid w:val="009A061A"/>
    <w:rsid w:val="009A061B"/>
    <w:rsid w:val="009A1460"/>
    <w:rsid w:val="009A1685"/>
    <w:rsid w:val="009A2608"/>
    <w:rsid w:val="009A2EC4"/>
    <w:rsid w:val="009A357A"/>
    <w:rsid w:val="009A6A19"/>
    <w:rsid w:val="009B05C4"/>
    <w:rsid w:val="009B1981"/>
    <w:rsid w:val="009B210F"/>
    <w:rsid w:val="009B2AF2"/>
    <w:rsid w:val="009B3351"/>
    <w:rsid w:val="009B3EE7"/>
    <w:rsid w:val="009B457B"/>
    <w:rsid w:val="009B4C3B"/>
    <w:rsid w:val="009B4F45"/>
    <w:rsid w:val="009B5A21"/>
    <w:rsid w:val="009B5C6B"/>
    <w:rsid w:val="009B6301"/>
    <w:rsid w:val="009B6318"/>
    <w:rsid w:val="009B676E"/>
    <w:rsid w:val="009B6BA3"/>
    <w:rsid w:val="009B6BC8"/>
    <w:rsid w:val="009B736E"/>
    <w:rsid w:val="009C0757"/>
    <w:rsid w:val="009C1055"/>
    <w:rsid w:val="009C11C2"/>
    <w:rsid w:val="009C1376"/>
    <w:rsid w:val="009C211E"/>
    <w:rsid w:val="009C2827"/>
    <w:rsid w:val="009C53C3"/>
    <w:rsid w:val="009C61EC"/>
    <w:rsid w:val="009C6D3C"/>
    <w:rsid w:val="009C6EEF"/>
    <w:rsid w:val="009C7E2B"/>
    <w:rsid w:val="009D015B"/>
    <w:rsid w:val="009D04C2"/>
    <w:rsid w:val="009D1637"/>
    <w:rsid w:val="009D1934"/>
    <w:rsid w:val="009D1F9F"/>
    <w:rsid w:val="009D26E7"/>
    <w:rsid w:val="009D331B"/>
    <w:rsid w:val="009D3529"/>
    <w:rsid w:val="009D453D"/>
    <w:rsid w:val="009D5A06"/>
    <w:rsid w:val="009D5BE9"/>
    <w:rsid w:val="009D63E4"/>
    <w:rsid w:val="009D6550"/>
    <w:rsid w:val="009D6C2B"/>
    <w:rsid w:val="009D76A6"/>
    <w:rsid w:val="009E0C98"/>
    <w:rsid w:val="009E0E18"/>
    <w:rsid w:val="009E245E"/>
    <w:rsid w:val="009E2B60"/>
    <w:rsid w:val="009E3900"/>
    <w:rsid w:val="009E3B33"/>
    <w:rsid w:val="009E3C6C"/>
    <w:rsid w:val="009E4E19"/>
    <w:rsid w:val="009E5E49"/>
    <w:rsid w:val="009E622F"/>
    <w:rsid w:val="009E64C2"/>
    <w:rsid w:val="009E724B"/>
    <w:rsid w:val="009E7A62"/>
    <w:rsid w:val="009F040B"/>
    <w:rsid w:val="009F06B5"/>
    <w:rsid w:val="009F1110"/>
    <w:rsid w:val="009F21D8"/>
    <w:rsid w:val="009F353A"/>
    <w:rsid w:val="009F402E"/>
    <w:rsid w:val="009F4285"/>
    <w:rsid w:val="009F447E"/>
    <w:rsid w:val="009F4B29"/>
    <w:rsid w:val="009F53AE"/>
    <w:rsid w:val="009F7B28"/>
    <w:rsid w:val="00A014C5"/>
    <w:rsid w:val="00A019E7"/>
    <w:rsid w:val="00A0259F"/>
    <w:rsid w:val="00A02797"/>
    <w:rsid w:val="00A02A73"/>
    <w:rsid w:val="00A0428B"/>
    <w:rsid w:val="00A04384"/>
    <w:rsid w:val="00A047C3"/>
    <w:rsid w:val="00A05532"/>
    <w:rsid w:val="00A05D12"/>
    <w:rsid w:val="00A066AB"/>
    <w:rsid w:val="00A07F1D"/>
    <w:rsid w:val="00A10400"/>
    <w:rsid w:val="00A1069E"/>
    <w:rsid w:val="00A10759"/>
    <w:rsid w:val="00A10B2E"/>
    <w:rsid w:val="00A10EC6"/>
    <w:rsid w:val="00A111AC"/>
    <w:rsid w:val="00A1195F"/>
    <w:rsid w:val="00A11B29"/>
    <w:rsid w:val="00A11E8B"/>
    <w:rsid w:val="00A11E8F"/>
    <w:rsid w:val="00A120A7"/>
    <w:rsid w:val="00A12275"/>
    <w:rsid w:val="00A123B0"/>
    <w:rsid w:val="00A141A9"/>
    <w:rsid w:val="00A14494"/>
    <w:rsid w:val="00A14995"/>
    <w:rsid w:val="00A15862"/>
    <w:rsid w:val="00A15868"/>
    <w:rsid w:val="00A15ADA"/>
    <w:rsid w:val="00A15BC3"/>
    <w:rsid w:val="00A16112"/>
    <w:rsid w:val="00A16E6F"/>
    <w:rsid w:val="00A171E0"/>
    <w:rsid w:val="00A17A13"/>
    <w:rsid w:val="00A17AA9"/>
    <w:rsid w:val="00A17EFE"/>
    <w:rsid w:val="00A20757"/>
    <w:rsid w:val="00A20C3D"/>
    <w:rsid w:val="00A2121B"/>
    <w:rsid w:val="00A2158B"/>
    <w:rsid w:val="00A22B57"/>
    <w:rsid w:val="00A24359"/>
    <w:rsid w:val="00A248B2"/>
    <w:rsid w:val="00A24E28"/>
    <w:rsid w:val="00A25286"/>
    <w:rsid w:val="00A2538E"/>
    <w:rsid w:val="00A25470"/>
    <w:rsid w:val="00A25916"/>
    <w:rsid w:val="00A2598B"/>
    <w:rsid w:val="00A25EC6"/>
    <w:rsid w:val="00A26B82"/>
    <w:rsid w:val="00A26D66"/>
    <w:rsid w:val="00A27F15"/>
    <w:rsid w:val="00A27FF8"/>
    <w:rsid w:val="00A30B25"/>
    <w:rsid w:val="00A30B27"/>
    <w:rsid w:val="00A30F48"/>
    <w:rsid w:val="00A318EF"/>
    <w:rsid w:val="00A31CB2"/>
    <w:rsid w:val="00A32809"/>
    <w:rsid w:val="00A32C83"/>
    <w:rsid w:val="00A32D23"/>
    <w:rsid w:val="00A33252"/>
    <w:rsid w:val="00A33DB1"/>
    <w:rsid w:val="00A33EC8"/>
    <w:rsid w:val="00A353C5"/>
    <w:rsid w:val="00A36646"/>
    <w:rsid w:val="00A36FC6"/>
    <w:rsid w:val="00A37ACE"/>
    <w:rsid w:val="00A41CE3"/>
    <w:rsid w:val="00A42DAE"/>
    <w:rsid w:val="00A4345F"/>
    <w:rsid w:val="00A4400C"/>
    <w:rsid w:val="00A4401D"/>
    <w:rsid w:val="00A44B87"/>
    <w:rsid w:val="00A45BBE"/>
    <w:rsid w:val="00A465F8"/>
    <w:rsid w:val="00A50899"/>
    <w:rsid w:val="00A51A55"/>
    <w:rsid w:val="00A5208F"/>
    <w:rsid w:val="00A52939"/>
    <w:rsid w:val="00A52FE0"/>
    <w:rsid w:val="00A537F3"/>
    <w:rsid w:val="00A53CC7"/>
    <w:rsid w:val="00A54045"/>
    <w:rsid w:val="00A554DA"/>
    <w:rsid w:val="00A555E0"/>
    <w:rsid w:val="00A55EA2"/>
    <w:rsid w:val="00A606E0"/>
    <w:rsid w:val="00A60C18"/>
    <w:rsid w:val="00A60C4B"/>
    <w:rsid w:val="00A619C7"/>
    <w:rsid w:val="00A62459"/>
    <w:rsid w:val="00A62885"/>
    <w:rsid w:val="00A62BCA"/>
    <w:rsid w:val="00A62ED6"/>
    <w:rsid w:val="00A63726"/>
    <w:rsid w:val="00A63F0B"/>
    <w:rsid w:val="00A64056"/>
    <w:rsid w:val="00A64065"/>
    <w:rsid w:val="00A6420E"/>
    <w:rsid w:val="00A64296"/>
    <w:rsid w:val="00A6442E"/>
    <w:rsid w:val="00A64ACC"/>
    <w:rsid w:val="00A64B6B"/>
    <w:rsid w:val="00A65628"/>
    <w:rsid w:val="00A65E28"/>
    <w:rsid w:val="00A66C2C"/>
    <w:rsid w:val="00A67759"/>
    <w:rsid w:val="00A6788B"/>
    <w:rsid w:val="00A67E66"/>
    <w:rsid w:val="00A71CA1"/>
    <w:rsid w:val="00A71D59"/>
    <w:rsid w:val="00A72B86"/>
    <w:rsid w:val="00A72CFF"/>
    <w:rsid w:val="00A731BF"/>
    <w:rsid w:val="00A734C1"/>
    <w:rsid w:val="00A747EF"/>
    <w:rsid w:val="00A74A79"/>
    <w:rsid w:val="00A758DB"/>
    <w:rsid w:val="00A75F6C"/>
    <w:rsid w:val="00A7636A"/>
    <w:rsid w:val="00A8019C"/>
    <w:rsid w:val="00A80CAA"/>
    <w:rsid w:val="00A80CD4"/>
    <w:rsid w:val="00A81D9C"/>
    <w:rsid w:val="00A82CAE"/>
    <w:rsid w:val="00A830DF"/>
    <w:rsid w:val="00A83E5B"/>
    <w:rsid w:val="00A83F85"/>
    <w:rsid w:val="00A83FB6"/>
    <w:rsid w:val="00A85A57"/>
    <w:rsid w:val="00A866F3"/>
    <w:rsid w:val="00A86784"/>
    <w:rsid w:val="00A8786C"/>
    <w:rsid w:val="00A87B8C"/>
    <w:rsid w:val="00A90ACC"/>
    <w:rsid w:val="00A911EF"/>
    <w:rsid w:val="00A91300"/>
    <w:rsid w:val="00A91760"/>
    <w:rsid w:val="00A92F1F"/>
    <w:rsid w:val="00A9369A"/>
    <w:rsid w:val="00A94732"/>
    <w:rsid w:val="00A9576B"/>
    <w:rsid w:val="00A95981"/>
    <w:rsid w:val="00A96488"/>
    <w:rsid w:val="00A96937"/>
    <w:rsid w:val="00A96E21"/>
    <w:rsid w:val="00A97273"/>
    <w:rsid w:val="00A973E7"/>
    <w:rsid w:val="00AA0386"/>
    <w:rsid w:val="00AA0781"/>
    <w:rsid w:val="00AA15CE"/>
    <w:rsid w:val="00AA1C0B"/>
    <w:rsid w:val="00AA33BB"/>
    <w:rsid w:val="00AA464B"/>
    <w:rsid w:val="00AA4AE1"/>
    <w:rsid w:val="00AA6386"/>
    <w:rsid w:val="00AA6D1E"/>
    <w:rsid w:val="00AA733F"/>
    <w:rsid w:val="00AA7AC0"/>
    <w:rsid w:val="00AB0084"/>
    <w:rsid w:val="00AB0495"/>
    <w:rsid w:val="00AB1567"/>
    <w:rsid w:val="00AB1D62"/>
    <w:rsid w:val="00AB3823"/>
    <w:rsid w:val="00AB4EC0"/>
    <w:rsid w:val="00AB50B8"/>
    <w:rsid w:val="00AB535B"/>
    <w:rsid w:val="00AB562C"/>
    <w:rsid w:val="00AB6093"/>
    <w:rsid w:val="00AB60A9"/>
    <w:rsid w:val="00AB6535"/>
    <w:rsid w:val="00AB744F"/>
    <w:rsid w:val="00AB770F"/>
    <w:rsid w:val="00AB7924"/>
    <w:rsid w:val="00AC0A51"/>
    <w:rsid w:val="00AC108C"/>
    <w:rsid w:val="00AC17B8"/>
    <w:rsid w:val="00AC21B5"/>
    <w:rsid w:val="00AC3377"/>
    <w:rsid w:val="00AC38A6"/>
    <w:rsid w:val="00AC4969"/>
    <w:rsid w:val="00AC6341"/>
    <w:rsid w:val="00AC64E1"/>
    <w:rsid w:val="00AC7B67"/>
    <w:rsid w:val="00AC7ED0"/>
    <w:rsid w:val="00AD0F6B"/>
    <w:rsid w:val="00AD1A05"/>
    <w:rsid w:val="00AD3AE1"/>
    <w:rsid w:val="00AD4077"/>
    <w:rsid w:val="00AD47F3"/>
    <w:rsid w:val="00AD532F"/>
    <w:rsid w:val="00AD5558"/>
    <w:rsid w:val="00AD5B72"/>
    <w:rsid w:val="00AD6A89"/>
    <w:rsid w:val="00AD6B1F"/>
    <w:rsid w:val="00AD6DDC"/>
    <w:rsid w:val="00AD6F8D"/>
    <w:rsid w:val="00AD7742"/>
    <w:rsid w:val="00AE0041"/>
    <w:rsid w:val="00AE00D9"/>
    <w:rsid w:val="00AE0397"/>
    <w:rsid w:val="00AE180E"/>
    <w:rsid w:val="00AE1D1F"/>
    <w:rsid w:val="00AE2100"/>
    <w:rsid w:val="00AE2A30"/>
    <w:rsid w:val="00AE330F"/>
    <w:rsid w:val="00AE3E12"/>
    <w:rsid w:val="00AE4FCD"/>
    <w:rsid w:val="00AE54CD"/>
    <w:rsid w:val="00AE670B"/>
    <w:rsid w:val="00AE6E85"/>
    <w:rsid w:val="00AE6F19"/>
    <w:rsid w:val="00AE72A2"/>
    <w:rsid w:val="00AE79E9"/>
    <w:rsid w:val="00AE7B3E"/>
    <w:rsid w:val="00AF0AA0"/>
    <w:rsid w:val="00AF0D94"/>
    <w:rsid w:val="00AF1950"/>
    <w:rsid w:val="00AF1B6A"/>
    <w:rsid w:val="00AF1D00"/>
    <w:rsid w:val="00AF2340"/>
    <w:rsid w:val="00AF27A3"/>
    <w:rsid w:val="00AF28A0"/>
    <w:rsid w:val="00AF36C0"/>
    <w:rsid w:val="00AF3D4B"/>
    <w:rsid w:val="00AF407C"/>
    <w:rsid w:val="00AF58E5"/>
    <w:rsid w:val="00AF5D1A"/>
    <w:rsid w:val="00AF7B8B"/>
    <w:rsid w:val="00B011B3"/>
    <w:rsid w:val="00B016B1"/>
    <w:rsid w:val="00B01F68"/>
    <w:rsid w:val="00B031AB"/>
    <w:rsid w:val="00B04DC0"/>
    <w:rsid w:val="00B05360"/>
    <w:rsid w:val="00B06405"/>
    <w:rsid w:val="00B06C3B"/>
    <w:rsid w:val="00B101AC"/>
    <w:rsid w:val="00B11B8E"/>
    <w:rsid w:val="00B12604"/>
    <w:rsid w:val="00B12929"/>
    <w:rsid w:val="00B12BE5"/>
    <w:rsid w:val="00B13FF3"/>
    <w:rsid w:val="00B146B5"/>
    <w:rsid w:val="00B146DF"/>
    <w:rsid w:val="00B14A7E"/>
    <w:rsid w:val="00B154AD"/>
    <w:rsid w:val="00B17B7C"/>
    <w:rsid w:val="00B17DE6"/>
    <w:rsid w:val="00B20601"/>
    <w:rsid w:val="00B2062B"/>
    <w:rsid w:val="00B20669"/>
    <w:rsid w:val="00B21A2C"/>
    <w:rsid w:val="00B22273"/>
    <w:rsid w:val="00B2239F"/>
    <w:rsid w:val="00B22C01"/>
    <w:rsid w:val="00B239F9"/>
    <w:rsid w:val="00B23A2E"/>
    <w:rsid w:val="00B24057"/>
    <w:rsid w:val="00B244D2"/>
    <w:rsid w:val="00B24971"/>
    <w:rsid w:val="00B25372"/>
    <w:rsid w:val="00B267F6"/>
    <w:rsid w:val="00B268DD"/>
    <w:rsid w:val="00B2722C"/>
    <w:rsid w:val="00B2797D"/>
    <w:rsid w:val="00B27BE6"/>
    <w:rsid w:val="00B305D3"/>
    <w:rsid w:val="00B30804"/>
    <w:rsid w:val="00B30E44"/>
    <w:rsid w:val="00B31A38"/>
    <w:rsid w:val="00B31E54"/>
    <w:rsid w:val="00B326B6"/>
    <w:rsid w:val="00B328D6"/>
    <w:rsid w:val="00B33206"/>
    <w:rsid w:val="00B3329B"/>
    <w:rsid w:val="00B350D5"/>
    <w:rsid w:val="00B3720F"/>
    <w:rsid w:val="00B3781A"/>
    <w:rsid w:val="00B37FB0"/>
    <w:rsid w:val="00B40C13"/>
    <w:rsid w:val="00B41BEB"/>
    <w:rsid w:val="00B42473"/>
    <w:rsid w:val="00B42CB4"/>
    <w:rsid w:val="00B433E3"/>
    <w:rsid w:val="00B4359A"/>
    <w:rsid w:val="00B4396E"/>
    <w:rsid w:val="00B43BD3"/>
    <w:rsid w:val="00B440C6"/>
    <w:rsid w:val="00B44B59"/>
    <w:rsid w:val="00B4532D"/>
    <w:rsid w:val="00B45DCA"/>
    <w:rsid w:val="00B45E79"/>
    <w:rsid w:val="00B45EDF"/>
    <w:rsid w:val="00B46524"/>
    <w:rsid w:val="00B46B4D"/>
    <w:rsid w:val="00B46FBA"/>
    <w:rsid w:val="00B471CA"/>
    <w:rsid w:val="00B47ABD"/>
    <w:rsid w:val="00B50385"/>
    <w:rsid w:val="00B5074A"/>
    <w:rsid w:val="00B53434"/>
    <w:rsid w:val="00B534F5"/>
    <w:rsid w:val="00B535D1"/>
    <w:rsid w:val="00B53C6F"/>
    <w:rsid w:val="00B53DD2"/>
    <w:rsid w:val="00B53E97"/>
    <w:rsid w:val="00B547E9"/>
    <w:rsid w:val="00B54E63"/>
    <w:rsid w:val="00B55365"/>
    <w:rsid w:val="00B56940"/>
    <w:rsid w:val="00B56A02"/>
    <w:rsid w:val="00B56B26"/>
    <w:rsid w:val="00B57339"/>
    <w:rsid w:val="00B57706"/>
    <w:rsid w:val="00B57794"/>
    <w:rsid w:val="00B577F1"/>
    <w:rsid w:val="00B57922"/>
    <w:rsid w:val="00B601B5"/>
    <w:rsid w:val="00B6052C"/>
    <w:rsid w:val="00B6060C"/>
    <w:rsid w:val="00B60857"/>
    <w:rsid w:val="00B60A71"/>
    <w:rsid w:val="00B62510"/>
    <w:rsid w:val="00B625CD"/>
    <w:rsid w:val="00B63008"/>
    <w:rsid w:val="00B6349B"/>
    <w:rsid w:val="00B63527"/>
    <w:rsid w:val="00B64096"/>
    <w:rsid w:val="00B64290"/>
    <w:rsid w:val="00B65171"/>
    <w:rsid w:val="00B65D54"/>
    <w:rsid w:val="00B667E5"/>
    <w:rsid w:val="00B70840"/>
    <w:rsid w:val="00B71715"/>
    <w:rsid w:val="00B71814"/>
    <w:rsid w:val="00B72E89"/>
    <w:rsid w:val="00B73A4B"/>
    <w:rsid w:val="00B73F6B"/>
    <w:rsid w:val="00B76D83"/>
    <w:rsid w:val="00B77414"/>
    <w:rsid w:val="00B77657"/>
    <w:rsid w:val="00B779D9"/>
    <w:rsid w:val="00B807AC"/>
    <w:rsid w:val="00B8480F"/>
    <w:rsid w:val="00B848F9"/>
    <w:rsid w:val="00B85A26"/>
    <w:rsid w:val="00B85D11"/>
    <w:rsid w:val="00B8666F"/>
    <w:rsid w:val="00B8791C"/>
    <w:rsid w:val="00B87C20"/>
    <w:rsid w:val="00B90914"/>
    <w:rsid w:val="00B90F95"/>
    <w:rsid w:val="00B91465"/>
    <w:rsid w:val="00B925D7"/>
    <w:rsid w:val="00B926A7"/>
    <w:rsid w:val="00B9272F"/>
    <w:rsid w:val="00B933A1"/>
    <w:rsid w:val="00B941CB"/>
    <w:rsid w:val="00B94581"/>
    <w:rsid w:val="00B953E5"/>
    <w:rsid w:val="00B962C3"/>
    <w:rsid w:val="00B968BE"/>
    <w:rsid w:val="00B96BAD"/>
    <w:rsid w:val="00BA07FB"/>
    <w:rsid w:val="00BA13DE"/>
    <w:rsid w:val="00BA1855"/>
    <w:rsid w:val="00BA1B6B"/>
    <w:rsid w:val="00BA1F04"/>
    <w:rsid w:val="00BA22D3"/>
    <w:rsid w:val="00BA3FB2"/>
    <w:rsid w:val="00BA58C4"/>
    <w:rsid w:val="00BA6BB4"/>
    <w:rsid w:val="00BA729A"/>
    <w:rsid w:val="00BA7E16"/>
    <w:rsid w:val="00BB02EE"/>
    <w:rsid w:val="00BB084F"/>
    <w:rsid w:val="00BB0B20"/>
    <w:rsid w:val="00BB108B"/>
    <w:rsid w:val="00BB10CD"/>
    <w:rsid w:val="00BB17DF"/>
    <w:rsid w:val="00BB1B5E"/>
    <w:rsid w:val="00BB1BA6"/>
    <w:rsid w:val="00BB1C71"/>
    <w:rsid w:val="00BB1C92"/>
    <w:rsid w:val="00BB1E2F"/>
    <w:rsid w:val="00BB27CA"/>
    <w:rsid w:val="00BB2D9A"/>
    <w:rsid w:val="00BB36C1"/>
    <w:rsid w:val="00BB3AD4"/>
    <w:rsid w:val="00BB4231"/>
    <w:rsid w:val="00BB453E"/>
    <w:rsid w:val="00BB6175"/>
    <w:rsid w:val="00BB773A"/>
    <w:rsid w:val="00BB784A"/>
    <w:rsid w:val="00BC0052"/>
    <w:rsid w:val="00BC0483"/>
    <w:rsid w:val="00BC0946"/>
    <w:rsid w:val="00BC0993"/>
    <w:rsid w:val="00BC0D71"/>
    <w:rsid w:val="00BC2006"/>
    <w:rsid w:val="00BC5B45"/>
    <w:rsid w:val="00BC5F27"/>
    <w:rsid w:val="00BC679F"/>
    <w:rsid w:val="00BC68DD"/>
    <w:rsid w:val="00BC6F23"/>
    <w:rsid w:val="00BC7119"/>
    <w:rsid w:val="00BC72EA"/>
    <w:rsid w:val="00BC75DE"/>
    <w:rsid w:val="00BC75FA"/>
    <w:rsid w:val="00BC7843"/>
    <w:rsid w:val="00BD14C0"/>
    <w:rsid w:val="00BD19C1"/>
    <w:rsid w:val="00BD27A9"/>
    <w:rsid w:val="00BD4627"/>
    <w:rsid w:val="00BD51FC"/>
    <w:rsid w:val="00BD5B83"/>
    <w:rsid w:val="00BD69FF"/>
    <w:rsid w:val="00BE0705"/>
    <w:rsid w:val="00BE12F0"/>
    <w:rsid w:val="00BE1715"/>
    <w:rsid w:val="00BE1E20"/>
    <w:rsid w:val="00BE2847"/>
    <w:rsid w:val="00BE2C4C"/>
    <w:rsid w:val="00BE3627"/>
    <w:rsid w:val="00BE3C9E"/>
    <w:rsid w:val="00BE3EEE"/>
    <w:rsid w:val="00BE4EEA"/>
    <w:rsid w:val="00BE4F7F"/>
    <w:rsid w:val="00BE5089"/>
    <w:rsid w:val="00BE5CF4"/>
    <w:rsid w:val="00BE6D9D"/>
    <w:rsid w:val="00BE6F3A"/>
    <w:rsid w:val="00BE71C7"/>
    <w:rsid w:val="00BF0B04"/>
    <w:rsid w:val="00BF0D5B"/>
    <w:rsid w:val="00BF1DA5"/>
    <w:rsid w:val="00BF4E25"/>
    <w:rsid w:val="00BF606C"/>
    <w:rsid w:val="00BF6308"/>
    <w:rsid w:val="00BF6383"/>
    <w:rsid w:val="00BF64C8"/>
    <w:rsid w:val="00BF64D6"/>
    <w:rsid w:val="00BF654B"/>
    <w:rsid w:val="00BF6D53"/>
    <w:rsid w:val="00BF7B6F"/>
    <w:rsid w:val="00C01478"/>
    <w:rsid w:val="00C025C4"/>
    <w:rsid w:val="00C02D86"/>
    <w:rsid w:val="00C03AF9"/>
    <w:rsid w:val="00C03E38"/>
    <w:rsid w:val="00C041EF"/>
    <w:rsid w:val="00C04C1E"/>
    <w:rsid w:val="00C05348"/>
    <w:rsid w:val="00C05A11"/>
    <w:rsid w:val="00C06500"/>
    <w:rsid w:val="00C066B2"/>
    <w:rsid w:val="00C067EA"/>
    <w:rsid w:val="00C06845"/>
    <w:rsid w:val="00C06ADF"/>
    <w:rsid w:val="00C06E92"/>
    <w:rsid w:val="00C0767C"/>
    <w:rsid w:val="00C1206A"/>
    <w:rsid w:val="00C1422F"/>
    <w:rsid w:val="00C1423F"/>
    <w:rsid w:val="00C1453A"/>
    <w:rsid w:val="00C1616A"/>
    <w:rsid w:val="00C205BD"/>
    <w:rsid w:val="00C20EA0"/>
    <w:rsid w:val="00C22920"/>
    <w:rsid w:val="00C2304E"/>
    <w:rsid w:val="00C240B9"/>
    <w:rsid w:val="00C2445D"/>
    <w:rsid w:val="00C2596B"/>
    <w:rsid w:val="00C26338"/>
    <w:rsid w:val="00C26576"/>
    <w:rsid w:val="00C26695"/>
    <w:rsid w:val="00C26E0A"/>
    <w:rsid w:val="00C27AB8"/>
    <w:rsid w:val="00C30FBF"/>
    <w:rsid w:val="00C31151"/>
    <w:rsid w:val="00C3175A"/>
    <w:rsid w:val="00C31E02"/>
    <w:rsid w:val="00C3273C"/>
    <w:rsid w:val="00C328D3"/>
    <w:rsid w:val="00C329BC"/>
    <w:rsid w:val="00C334FA"/>
    <w:rsid w:val="00C335A7"/>
    <w:rsid w:val="00C33739"/>
    <w:rsid w:val="00C33EAA"/>
    <w:rsid w:val="00C345E1"/>
    <w:rsid w:val="00C35088"/>
    <w:rsid w:val="00C356D2"/>
    <w:rsid w:val="00C35D46"/>
    <w:rsid w:val="00C36BF8"/>
    <w:rsid w:val="00C36EBD"/>
    <w:rsid w:val="00C374FF"/>
    <w:rsid w:val="00C378E1"/>
    <w:rsid w:val="00C410F7"/>
    <w:rsid w:val="00C42D34"/>
    <w:rsid w:val="00C44D4B"/>
    <w:rsid w:val="00C44E3C"/>
    <w:rsid w:val="00C45015"/>
    <w:rsid w:val="00C45067"/>
    <w:rsid w:val="00C456B5"/>
    <w:rsid w:val="00C457AC"/>
    <w:rsid w:val="00C45A1B"/>
    <w:rsid w:val="00C465E2"/>
    <w:rsid w:val="00C466FC"/>
    <w:rsid w:val="00C46FFF"/>
    <w:rsid w:val="00C4770B"/>
    <w:rsid w:val="00C5130D"/>
    <w:rsid w:val="00C519FB"/>
    <w:rsid w:val="00C51AF6"/>
    <w:rsid w:val="00C526AE"/>
    <w:rsid w:val="00C52B31"/>
    <w:rsid w:val="00C52CD5"/>
    <w:rsid w:val="00C52D40"/>
    <w:rsid w:val="00C53965"/>
    <w:rsid w:val="00C54C96"/>
    <w:rsid w:val="00C60924"/>
    <w:rsid w:val="00C610C4"/>
    <w:rsid w:val="00C6184D"/>
    <w:rsid w:val="00C62DC2"/>
    <w:rsid w:val="00C64590"/>
    <w:rsid w:val="00C655ED"/>
    <w:rsid w:val="00C65DAD"/>
    <w:rsid w:val="00C6672A"/>
    <w:rsid w:val="00C66CD7"/>
    <w:rsid w:val="00C72CE8"/>
    <w:rsid w:val="00C72D61"/>
    <w:rsid w:val="00C73AED"/>
    <w:rsid w:val="00C74B68"/>
    <w:rsid w:val="00C74D62"/>
    <w:rsid w:val="00C75341"/>
    <w:rsid w:val="00C758E0"/>
    <w:rsid w:val="00C76777"/>
    <w:rsid w:val="00C76C72"/>
    <w:rsid w:val="00C76FA4"/>
    <w:rsid w:val="00C76FDC"/>
    <w:rsid w:val="00C77BAD"/>
    <w:rsid w:val="00C8088C"/>
    <w:rsid w:val="00C8096F"/>
    <w:rsid w:val="00C80AD5"/>
    <w:rsid w:val="00C819A9"/>
    <w:rsid w:val="00C81F71"/>
    <w:rsid w:val="00C820DF"/>
    <w:rsid w:val="00C82446"/>
    <w:rsid w:val="00C82BD8"/>
    <w:rsid w:val="00C8365F"/>
    <w:rsid w:val="00C84DA9"/>
    <w:rsid w:val="00C85262"/>
    <w:rsid w:val="00C85AAC"/>
    <w:rsid w:val="00C85D5F"/>
    <w:rsid w:val="00C85F99"/>
    <w:rsid w:val="00C86381"/>
    <w:rsid w:val="00C86A75"/>
    <w:rsid w:val="00C87C07"/>
    <w:rsid w:val="00C905C2"/>
    <w:rsid w:val="00C9218D"/>
    <w:rsid w:val="00C925BC"/>
    <w:rsid w:val="00C93545"/>
    <w:rsid w:val="00C948C4"/>
    <w:rsid w:val="00C959C2"/>
    <w:rsid w:val="00C962BD"/>
    <w:rsid w:val="00C96546"/>
    <w:rsid w:val="00C972DC"/>
    <w:rsid w:val="00C97B46"/>
    <w:rsid w:val="00CA100E"/>
    <w:rsid w:val="00CA2707"/>
    <w:rsid w:val="00CA2CEF"/>
    <w:rsid w:val="00CA5C35"/>
    <w:rsid w:val="00CA61F9"/>
    <w:rsid w:val="00CA6D25"/>
    <w:rsid w:val="00CA6EE5"/>
    <w:rsid w:val="00CA75B8"/>
    <w:rsid w:val="00CB0ACB"/>
    <w:rsid w:val="00CB14EF"/>
    <w:rsid w:val="00CB2883"/>
    <w:rsid w:val="00CB298A"/>
    <w:rsid w:val="00CB2C28"/>
    <w:rsid w:val="00CB30EF"/>
    <w:rsid w:val="00CB3B21"/>
    <w:rsid w:val="00CB464C"/>
    <w:rsid w:val="00CB496C"/>
    <w:rsid w:val="00CB4D1F"/>
    <w:rsid w:val="00CB5201"/>
    <w:rsid w:val="00CB53DD"/>
    <w:rsid w:val="00CB6485"/>
    <w:rsid w:val="00CB6D6E"/>
    <w:rsid w:val="00CB7BC8"/>
    <w:rsid w:val="00CC014A"/>
    <w:rsid w:val="00CC11D3"/>
    <w:rsid w:val="00CC1DEF"/>
    <w:rsid w:val="00CC1EA8"/>
    <w:rsid w:val="00CC2427"/>
    <w:rsid w:val="00CC2994"/>
    <w:rsid w:val="00CC2FB7"/>
    <w:rsid w:val="00CC4738"/>
    <w:rsid w:val="00CC4CC5"/>
    <w:rsid w:val="00CC5323"/>
    <w:rsid w:val="00CC56A8"/>
    <w:rsid w:val="00CC6400"/>
    <w:rsid w:val="00CC66A7"/>
    <w:rsid w:val="00CC706C"/>
    <w:rsid w:val="00CC780B"/>
    <w:rsid w:val="00CC7CF2"/>
    <w:rsid w:val="00CD04FB"/>
    <w:rsid w:val="00CD0C4D"/>
    <w:rsid w:val="00CD0CB0"/>
    <w:rsid w:val="00CD1A8C"/>
    <w:rsid w:val="00CD222C"/>
    <w:rsid w:val="00CD2D7B"/>
    <w:rsid w:val="00CD2E54"/>
    <w:rsid w:val="00CD3038"/>
    <w:rsid w:val="00CD36F4"/>
    <w:rsid w:val="00CD37E0"/>
    <w:rsid w:val="00CD3F74"/>
    <w:rsid w:val="00CD41DB"/>
    <w:rsid w:val="00CD4800"/>
    <w:rsid w:val="00CD4817"/>
    <w:rsid w:val="00CD5548"/>
    <w:rsid w:val="00CD5A9B"/>
    <w:rsid w:val="00CD6B76"/>
    <w:rsid w:val="00CD74C1"/>
    <w:rsid w:val="00CD777E"/>
    <w:rsid w:val="00CE072B"/>
    <w:rsid w:val="00CE07FF"/>
    <w:rsid w:val="00CE0FB6"/>
    <w:rsid w:val="00CE13B6"/>
    <w:rsid w:val="00CE2391"/>
    <w:rsid w:val="00CE23F6"/>
    <w:rsid w:val="00CE3617"/>
    <w:rsid w:val="00CE4025"/>
    <w:rsid w:val="00CE48F9"/>
    <w:rsid w:val="00CE60DB"/>
    <w:rsid w:val="00CE65AE"/>
    <w:rsid w:val="00CE6C34"/>
    <w:rsid w:val="00CE6DAC"/>
    <w:rsid w:val="00CE7197"/>
    <w:rsid w:val="00CE7F80"/>
    <w:rsid w:val="00CF07D3"/>
    <w:rsid w:val="00CF0FB3"/>
    <w:rsid w:val="00CF1EF7"/>
    <w:rsid w:val="00CF221F"/>
    <w:rsid w:val="00CF33F7"/>
    <w:rsid w:val="00CF3733"/>
    <w:rsid w:val="00CF5F11"/>
    <w:rsid w:val="00CF6B1F"/>
    <w:rsid w:val="00CF7D5C"/>
    <w:rsid w:val="00D00F48"/>
    <w:rsid w:val="00D012F5"/>
    <w:rsid w:val="00D0137C"/>
    <w:rsid w:val="00D014A8"/>
    <w:rsid w:val="00D01D15"/>
    <w:rsid w:val="00D01D7B"/>
    <w:rsid w:val="00D03788"/>
    <w:rsid w:val="00D04068"/>
    <w:rsid w:val="00D05264"/>
    <w:rsid w:val="00D061E1"/>
    <w:rsid w:val="00D06C1D"/>
    <w:rsid w:val="00D07A95"/>
    <w:rsid w:val="00D10526"/>
    <w:rsid w:val="00D126CE"/>
    <w:rsid w:val="00D1507A"/>
    <w:rsid w:val="00D15696"/>
    <w:rsid w:val="00D15952"/>
    <w:rsid w:val="00D15C3E"/>
    <w:rsid w:val="00D16774"/>
    <w:rsid w:val="00D16A19"/>
    <w:rsid w:val="00D16F52"/>
    <w:rsid w:val="00D16FAF"/>
    <w:rsid w:val="00D205BA"/>
    <w:rsid w:val="00D207A4"/>
    <w:rsid w:val="00D20975"/>
    <w:rsid w:val="00D20E01"/>
    <w:rsid w:val="00D20EF7"/>
    <w:rsid w:val="00D215FF"/>
    <w:rsid w:val="00D22606"/>
    <w:rsid w:val="00D23384"/>
    <w:rsid w:val="00D233BE"/>
    <w:rsid w:val="00D2434B"/>
    <w:rsid w:val="00D25232"/>
    <w:rsid w:val="00D25705"/>
    <w:rsid w:val="00D25C33"/>
    <w:rsid w:val="00D26936"/>
    <w:rsid w:val="00D26D8A"/>
    <w:rsid w:val="00D275A6"/>
    <w:rsid w:val="00D277AE"/>
    <w:rsid w:val="00D304C2"/>
    <w:rsid w:val="00D3092B"/>
    <w:rsid w:val="00D31B40"/>
    <w:rsid w:val="00D31D73"/>
    <w:rsid w:val="00D31FF8"/>
    <w:rsid w:val="00D3229E"/>
    <w:rsid w:val="00D32DA4"/>
    <w:rsid w:val="00D330AB"/>
    <w:rsid w:val="00D34451"/>
    <w:rsid w:val="00D362F1"/>
    <w:rsid w:val="00D36A58"/>
    <w:rsid w:val="00D36BD5"/>
    <w:rsid w:val="00D3750B"/>
    <w:rsid w:val="00D37D47"/>
    <w:rsid w:val="00D401C2"/>
    <w:rsid w:val="00D402F8"/>
    <w:rsid w:val="00D40496"/>
    <w:rsid w:val="00D4159F"/>
    <w:rsid w:val="00D42CCD"/>
    <w:rsid w:val="00D445A9"/>
    <w:rsid w:val="00D44689"/>
    <w:rsid w:val="00D44F07"/>
    <w:rsid w:val="00D453D4"/>
    <w:rsid w:val="00D468CD"/>
    <w:rsid w:val="00D46982"/>
    <w:rsid w:val="00D50A00"/>
    <w:rsid w:val="00D51180"/>
    <w:rsid w:val="00D51D32"/>
    <w:rsid w:val="00D52C1D"/>
    <w:rsid w:val="00D541A2"/>
    <w:rsid w:val="00D550C3"/>
    <w:rsid w:val="00D55565"/>
    <w:rsid w:val="00D57716"/>
    <w:rsid w:val="00D5773C"/>
    <w:rsid w:val="00D578B7"/>
    <w:rsid w:val="00D61678"/>
    <w:rsid w:val="00D61BE3"/>
    <w:rsid w:val="00D620FD"/>
    <w:rsid w:val="00D63698"/>
    <w:rsid w:val="00D63D87"/>
    <w:rsid w:val="00D643E0"/>
    <w:rsid w:val="00D65091"/>
    <w:rsid w:val="00D66A4E"/>
    <w:rsid w:val="00D66CC9"/>
    <w:rsid w:val="00D67769"/>
    <w:rsid w:val="00D67855"/>
    <w:rsid w:val="00D705ED"/>
    <w:rsid w:val="00D72A2A"/>
    <w:rsid w:val="00D72C18"/>
    <w:rsid w:val="00D72C3C"/>
    <w:rsid w:val="00D73943"/>
    <w:rsid w:val="00D73976"/>
    <w:rsid w:val="00D75047"/>
    <w:rsid w:val="00D7565C"/>
    <w:rsid w:val="00D75ADA"/>
    <w:rsid w:val="00D75F76"/>
    <w:rsid w:val="00D76292"/>
    <w:rsid w:val="00D77B84"/>
    <w:rsid w:val="00D77D85"/>
    <w:rsid w:val="00D77F40"/>
    <w:rsid w:val="00D80110"/>
    <w:rsid w:val="00D80C08"/>
    <w:rsid w:val="00D80FAB"/>
    <w:rsid w:val="00D814C0"/>
    <w:rsid w:val="00D820D0"/>
    <w:rsid w:val="00D83039"/>
    <w:rsid w:val="00D83B9F"/>
    <w:rsid w:val="00D83C67"/>
    <w:rsid w:val="00D843A9"/>
    <w:rsid w:val="00D84CA4"/>
    <w:rsid w:val="00D84DFD"/>
    <w:rsid w:val="00D84F3C"/>
    <w:rsid w:val="00D84F45"/>
    <w:rsid w:val="00D86A9C"/>
    <w:rsid w:val="00D87262"/>
    <w:rsid w:val="00D878FB"/>
    <w:rsid w:val="00D90499"/>
    <w:rsid w:val="00D906D1"/>
    <w:rsid w:val="00D907CA"/>
    <w:rsid w:val="00D90850"/>
    <w:rsid w:val="00D9091A"/>
    <w:rsid w:val="00D90AA1"/>
    <w:rsid w:val="00D9116D"/>
    <w:rsid w:val="00D91F11"/>
    <w:rsid w:val="00D933B8"/>
    <w:rsid w:val="00D94519"/>
    <w:rsid w:val="00D949F9"/>
    <w:rsid w:val="00D95256"/>
    <w:rsid w:val="00D956A3"/>
    <w:rsid w:val="00D95C2E"/>
    <w:rsid w:val="00D96524"/>
    <w:rsid w:val="00D9710C"/>
    <w:rsid w:val="00D97D93"/>
    <w:rsid w:val="00DA063B"/>
    <w:rsid w:val="00DA0A79"/>
    <w:rsid w:val="00DA1B34"/>
    <w:rsid w:val="00DA1C58"/>
    <w:rsid w:val="00DA2237"/>
    <w:rsid w:val="00DA3149"/>
    <w:rsid w:val="00DA3209"/>
    <w:rsid w:val="00DA3896"/>
    <w:rsid w:val="00DA4C1A"/>
    <w:rsid w:val="00DA553E"/>
    <w:rsid w:val="00DA6706"/>
    <w:rsid w:val="00DA6B9B"/>
    <w:rsid w:val="00DA6D97"/>
    <w:rsid w:val="00DB177C"/>
    <w:rsid w:val="00DB3113"/>
    <w:rsid w:val="00DB3541"/>
    <w:rsid w:val="00DB4580"/>
    <w:rsid w:val="00DB531F"/>
    <w:rsid w:val="00DB565D"/>
    <w:rsid w:val="00DB7647"/>
    <w:rsid w:val="00DC098F"/>
    <w:rsid w:val="00DC23CE"/>
    <w:rsid w:val="00DC2969"/>
    <w:rsid w:val="00DC3361"/>
    <w:rsid w:val="00DC397C"/>
    <w:rsid w:val="00DC4141"/>
    <w:rsid w:val="00DC442F"/>
    <w:rsid w:val="00DC5B4F"/>
    <w:rsid w:val="00DC5DDC"/>
    <w:rsid w:val="00DC6C4E"/>
    <w:rsid w:val="00DC7A06"/>
    <w:rsid w:val="00DD0B2C"/>
    <w:rsid w:val="00DD0D70"/>
    <w:rsid w:val="00DD14AF"/>
    <w:rsid w:val="00DD1D97"/>
    <w:rsid w:val="00DD36BE"/>
    <w:rsid w:val="00DD4A08"/>
    <w:rsid w:val="00DD5608"/>
    <w:rsid w:val="00DE05A8"/>
    <w:rsid w:val="00DE06F5"/>
    <w:rsid w:val="00DE097D"/>
    <w:rsid w:val="00DE2257"/>
    <w:rsid w:val="00DE2A83"/>
    <w:rsid w:val="00DE2CE6"/>
    <w:rsid w:val="00DE2F82"/>
    <w:rsid w:val="00DE3A7F"/>
    <w:rsid w:val="00DE3AD2"/>
    <w:rsid w:val="00DE4C22"/>
    <w:rsid w:val="00DE52F5"/>
    <w:rsid w:val="00DE5CC3"/>
    <w:rsid w:val="00DE71B2"/>
    <w:rsid w:val="00DE7BB1"/>
    <w:rsid w:val="00DF002B"/>
    <w:rsid w:val="00DF0263"/>
    <w:rsid w:val="00DF102A"/>
    <w:rsid w:val="00DF1D5E"/>
    <w:rsid w:val="00DF29D7"/>
    <w:rsid w:val="00DF38DF"/>
    <w:rsid w:val="00DF398A"/>
    <w:rsid w:val="00DF39DB"/>
    <w:rsid w:val="00DF3B54"/>
    <w:rsid w:val="00DF4669"/>
    <w:rsid w:val="00DF4DD4"/>
    <w:rsid w:val="00DF781C"/>
    <w:rsid w:val="00E004D0"/>
    <w:rsid w:val="00E01DE4"/>
    <w:rsid w:val="00E020B0"/>
    <w:rsid w:val="00E02C16"/>
    <w:rsid w:val="00E03657"/>
    <w:rsid w:val="00E039E8"/>
    <w:rsid w:val="00E03E76"/>
    <w:rsid w:val="00E04AC6"/>
    <w:rsid w:val="00E050DD"/>
    <w:rsid w:val="00E05741"/>
    <w:rsid w:val="00E057F3"/>
    <w:rsid w:val="00E05A38"/>
    <w:rsid w:val="00E07878"/>
    <w:rsid w:val="00E07C79"/>
    <w:rsid w:val="00E109DF"/>
    <w:rsid w:val="00E112D1"/>
    <w:rsid w:val="00E12C1A"/>
    <w:rsid w:val="00E133D2"/>
    <w:rsid w:val="00E13463"/>
    <w:rsid w:val="00E14576"/>
    <w:rsid w:val="00E145CE"/>
    <w:rsid w:val="00E14D7E"/>
    <w:rsid w:val="00E1500B"/>
    <w:rsid w:val="00E1605F"/>
    <w:rsid w:val="00E1630D"/>
    <w:rsid w:val="00E16E2A"/>
    <w:rsid w:val="00E171AA"/>
    <w:rsid w:val="00E17CCD"/>
    <w:rsid w:val="00E201BB"/>
    <w:rsid w:val="00E20299"/>
    <w:rsid w:val="00E21870"/>
    <w:rsid w:val="00E21A6D"/>
    <w:rsid w:val="00E22D32"/>
    <w:rsid w:val="00E24305"/>
    <w:rsid w:val="00E2515C"/>
    <w:rsid w:val="00E25B69"/>
    <w:rsid w:val="00E26D56"/>
    <w:rsid w:val="00E27AE1"/>
    <w:rsid w:val="00E27B19"/>
    <w:rsid w:val="00E27C05"/>
    <w:rsid w:val="00E27FAB"/>
    <w:rsid w:val="00E3055F"/>
    <w:rsid w:val="00E31CE6"/>
    <w:rsid w:val="00E325E9"/>
    <w:rsid w:val="00E330FC"/>
    <w:rsid w:val="00E331B5"/>
    <w:rsid w:val="00E33715"/>
    <w:rsid w:val="00E3561F"/>
    <w:rsid w:val="00E35DD2"/>
    <w:rsid w:val="00E41837"/>
    <w:rsid w:val="00E43245"/>
    <w:rsid w:val="00E445E8"/>
    <w:rsid w:val="00E44978"/>
    <w:rsid w:val="00E45F0A"/>
    <w:rsid w:val="00E46121"/>
    <w:rsid w:val="00E46B25"/>
    <w:rsid w:val="00E475AF"/>
    <w:rsid w:val="00E501CB"/>
    <w:rsid w:val="00E50885"/>
    <w:rsid w:val="00E50AE9"/>
    <w:rsid w:val="00E50C75"/>
    <w:rsid w:val="00E515E8"/>
    <w:rsid w:val="00E517E2"/>
    <w:rsid w:val="00E51FDF"/>
    <w:rsid w:val="00E5276D"/>
    <w:rsid w:val="00E527A1"/>
    <w:rsid w:val="00E5348F"/>
    <w:rsid w:val="00E5405E"/>
    <w:rsid w:val="00E55653"/>
    <w:rsid w:val="00E55A2D"/>
    <w:rsid w:val="00E6072B"/>
    <w:rsid w:val="00E6095D"/>
    <w:rsid w:val="00E60B96"/>
    <w:rsid w:val="00E61076"/>
    <w:rsid w:val="00E61545"/>
    <w:rsid w:val="00E61B91"/>
    <w:rsid w:val="00E61EDC"/>
    <w:rsid w:val="00E62263"/>
    <w:rsid w:val="00E635F6"/>
    <w:rsid w:val="00E63940"/>
    <w:rsid w:val="00E63A8D"/>
    <w:rsid w:val="00E6435C"/>
    <w:rsid w:val="00E6565A"/>
    <w:rsid w:val="00E6584B"/>
    <w:rsid w:val="00E663F6"/>
    <w:rsid w:val="00E667E1"/>
    <w:rsid w:val="00E676A9"/>
    <w:rsid w:val="00E67AD5"/>
    <w:rsid w:val="00E71DC2"/>
    <w:rsid w:val="00E73558"/>
    <w:rsid w:val="00E738D2"/>
    <w:rsid w:val="00E74ACF"/>
    <w:rsid w:val="00E74D4C"/>
    <w:rsid w:val="00E75096"/>
    <w:rsid w:val="00E75239"/>
    <w:rsid w:val="00E761E7"/>
    <w:rsid w:val="00E7625F"/>
    <w:rsid w:val="00E7650B"/>
    <w:rsid w:val="00E769C3"/>
    <w:rsid w:val="00E76DC8"/>
    <w:rsid w:val="00E76E50"/>
    <w:rsid w:val="00E77FEC"/>
    <w:rsid w:val="00E810CC"/>
    <w:rsid w:val="00E8347E"/>
    <w:rsid w:val="00E83508"/>
    <w:rsid w:val="00E85274"/>
    <w:rsid w:val="00E85975"/>
    <w:rsid w:val="00E85D61"/>
    <w:rsid w:val="00E85DB5"/>
    <w:rsid w:val="00E86C4A"/>
    <w:rsid w:val="00E87B09"/>
    <w:rsid w:val="00E87C0A"/>
    <w:rsid w:val="00E87DEA"/>
    <w:rsid w:val="00E909ED"/>
    <w:rsid w:val="00E90AEE"/>
    <w:rsid w:val="00E91137"/>
    <w:rsid w:val="00E91327"/>
    <w:rsid w:val="00E92433"/>
    <w:rsid w:val="00E92A27"/>
    <w:rsid w:val="00E92DD3"/>
    <w:rsid w:val="00E935FC"/>
    <w:rsid w:val="00E94630"/>
    <w:rsid w:val="00E94FD1"/>
    <w:rsid w:val="00E9552F"/>
    <w:rsid w:val="00E95B8C"/>
    <w:rsid w:val="00E96C04"/>
    <w:rsid w:val="00E96E69"/>
    <w:rsid w:val="00E974DB"/>
    <w:rsid w:val="00E97CD8"/>
    <w:rsid w:val="00EA128E"/>
    <w:rsid w:val="00EA1BFE"/>
    <w:rsid w:val="00EA231B"/>
    <w:rsid w:val="00EA2BE5"/>
    <w:rsid w:val="00EA3088"/>
    <w:rsid w:val="00EA45B0"/>
    <w:rsid w:val="00EA4A70"/>
    <w:rsid w:val="00EA506E"/>
    <w:rsid w:val="00EA512C"/>
    <w:rsid w:val="00EA52C8"/>
    <w:rsid w:val="00EA5E6F"/>
    <w:rsid w:val="00EA6C32"/>
    <w:rsid w:val="00EA737F"/>
    <w:rsid w:val="00EA795F"/>
    <w:rsid w:val="00EB0386"/>
    <w:rsid w:val="00EB0523"/>
    <w:rsid w:val="00EB0A2A"/>
    <w:rsid w:val="00EB1696"/>
    <w:rsid w:val="00EB1975"/>
    <w:rsid w:val="00EB2221"/>
    <w:rsid w:val="00EB2302"/>
    <w:rsid w:val="00EB2FE2"/>
    <w:rsid w:val="00EB34FA"/>
    <w:rsid w:val="00EB3ADA"/>
    <w:rsid w:val="00EB4147"/>
    <w:rsid w:val="00EB439C"/>
    <w:rsid w:val="00EB4E76"/>
    <w:rsid w:val="00EB627D"/>
    <w:rsid w:val="00EB6AAB"/>
    <w:rsid w:val="00EB723E"/>
    <w:rsid w:val="00EB7D2B"/>
    <w:rsid w:val="00EB7E8D"/>
    <w:rsid w:val="00EC01FC"/>
    <w:rsid w:val="00EC13CA"/>
    <w:rsid w:val="00EC177C"/>
    <w:rsid w:val="00EC1D13"/>
    <w:rsid w:val="00EC253D"/>
    <w:rsid w:val="00EC2567"/>
    <w:rsid w:val="00EC33E7"/>
    <w:rsid w:val="00EC3B67"/>
    <w:rsid w:val="00EC480E"/>
    <w:rsid w:val="00EC5248"/>
    <w:rsid w:val="00EC6399"/>
    <w:rsid w:val="00EC7025"/>
    <w:rsid w:val="00EC709C"/>
    <w:rsid w:val="00EC7B55"/>
    <w:rsid w:val="00EC7D90"/>
    <w:rsid w:val="00ED2295"/>
    <w:rsid w:val="00ED25F9"/>
    <w:rsid w:val="00ED2A79"/>
    <w:rsid w:val="00ED33F5"/>
    <w:rsid w:val="00ED6F97"/>
    <w:rsid w:val="00ED73A5"/>
    <w:rsid w:val="00ED75A5"/>
    <w:rsid w:val="00EE0C95"/>
    <w:rsid w:val="00EE1AF7"/>
    <w:rsid w:val="00EE1BA8"/>
    <w:rsid w:val="00EE1BF3"/>
    <w:rsid w:val="00EE208C"/>
    <w:rsid w:val="00EE2106"/>
    <w:rsid w:val="00EE248F"/>
    <w:rsid w:val="00EE2960"/>
    <w:rsid w:val="00EE2F05"/>
    <w:rsid w:val="00EE331F"/>
    <w:rsid w:val="00EE34BB"/>
    <w:rsid w:val="00EE3C24"/>
    <w:rsid w:val="00EE3C97"/>
    <w:rsid w:val="00EE3DEA"/>
    <w:rsid w:val="00EE4268"/>
    <w:rsid w:val="00EE45B6"/>
    <w:rsid w:val="00EE461C"/>
    <w:rsid w:val="00EE48C6"/>
    <w:rsid w:val="00EE5008"/>
    <w:rsid w:val="00EE50DF"/>
    <w:rsid w:val="00EE56B5"/>
    <w:rsid w:val="00EE5AEE"/>
    <w:rsid w:val="00EE7916"/>
    <w:rsid w:val="00EF06EA"/>
    <w:rsid w:val="00EF08D8"/>
    <w:rsid w:val="00EF11FF"/>
    <w:rsid w:val="00EF1E72"/>
    <w:rsid w:val="00EF2ED2"/>
    <w:rsid w:val="00EF46D8"/>
    <w:rsid w:val="00EF4F9C"/>
    <w:rsid w:val="00EF60E5"/>
    <w:rsid w:val="00EF6511"/>
    <w:rsid w:val="00EF654D"/>
    <w:rsid w:val="00EF658E"/>
    <w:rsid w:val="00EF69AA"/>
    <w:rsid w:val="00EF6C99"/>
    <w:rsid w:val="00EF7275"/>
    <w:rsid w:val="00EF728A"/>
    <w:rsid w:val="00EF7881"/>
    <w:rsid w:val="00EF78EE"/>
    <w:rsid w:val="00F0142F"/>
    <w:rsid w:val="00F03F4E"/>
    <w:rsid w:val="00F04729"/>
    <w:rsid w:val="00F054FE"/>
    <w:rsid w:val="00F05900"/>
    <w:rsid w:val="00F076FD"/>
    <w:rsid w:val="00F10B38"/>
    <w:rsid w:val="00F10E12"/>
    <w:rsid w:val="00F120B7"/>
    <w:rsid w:val="00F12D03"/>
    <w:rsid w:val="00F12DA2"/>
    <w:rsid w:val="00F14263"/>
    <w:rsid w:val="00F14B1E"/>
    <w:rsid w:val="00F153CE"/>
    <w:rsid w:val="00F158B2"/>
    <w:rsid w:val="00F166E4"/>
    <w:rsid w:val="00F16D97"/>
    <w:rsid w:val="00F17FED"/>
    <w:rsid w:val="00F21979"/>
    <w:rsid w:val="00F21C0C"/>
    <w:rsid w:val="00F243E0"/>
    <w:rsid w:val="00F24A8E"/>
    <w:rsid w:val="00F25C3C"/>
    <w:rsid w:val="00F2639B"/>
    <w:rsid w:val="00F26635"/>
    <w:rsid w:val="00F26C30"/>
    <w:rsid w:val="00F27958"/>
    <w:rsid w:val="00F27DEA"/>
    <w:rsid w:val="00F300F3"/>
    <w:rsid w:val="00F312E7"/>
    <w:rsid w:val="00F31509"/>
    <w:rsid w:val="00F3178F"/>
    <w:rsid w:val="00F3220C"/>
    <w:rsid w:val="00F3290B"/>
    <w:rsid w:val="00F32A80"/>
    <w:rsid w:val="00F32CFC"/>
    <w:rsid w:val="00F32F3A"/>
    <w:rsid w:val="00F3375C"/>
    <w:rsid w:val="00F3400B"/>
    <w:rsid w:val="00F3470C"/>
    <w:rsid w:val="00F357C2"/>
    <w:rsid w:val="00F35B96"/>
    <w:rsid w:val="00F35F4B"/>
    <w:rsid w:val="00F36160"/>
    <w:rsid w:val="00F364AB"/>
    <w:rsid w:val="00F369D3"/>
    <w:rsid w:val="00F36D74"/>
    <w:rsid w:val="00F378A4"/>
    <w:rsid w:val="00F37F01"/>
    <w:rsid w:val="00F401A2"/>
    <w:rsid w:val="00F40238"/>
    <w:rsid w:val="00F40269"/>
    <w:rsid w:val="00F4187D"/>
    <w:rsid w:val="00F422B3"/>
    <w:rsid w:val="00F42F32"/>
    <w:rsid w:val="00F43B0C"/>
    <w:rsid w:val="00F43E20"/>
    <w:rsid w:val="00F444BA"/>
    <w:rsid w:val="00F452E9"/>
    <w:rsid w:val="00F50A5C"/>
    <w:rsid w:val="00F50AE0"/>
    <w:rsid w:val="00F51719"/>
    <w:rsid w:val="00F51B95"/>
    <w:rsid w:val="00F51CA9"/>
    <w:rsid w:val="00F52E98"/>
    <w:rsid w:val="00F53272"/>
    <w:rsid w:val="00F5393F"/>
    <w:rsid w:val="00F53A14"/>
    <w:rsid w:val="00F53BB4"/>
    <w:rsid w:val="00F54610"/>
    <w:rsid w:val="00F5542C"/>
    <w:rsid w:val="00F55448"/>
    <w:rsid w:val="00F56886"/>
    <w:rsid w:val="00F5693D"/>
    <w:rsid w:val="00F573C1"/>
    <w:rsid w:val="00F577F6"/>
    <w:rsid w:val="00F57878"/>
    <w:rsid w:val="00F57D9C"/>
    <w:rsid w:val="00F61C35"/>
    <w:rsid w:val="00F61F73"/>
    <w:rsid w:val="00F623F4"/>
    <w:rsid w:val="00F627D1"/>
    <w:rsid w:val="00F628A8"/>
    <w:rsid w:val="00F62978"/>
    <w:rsid w:val="00F62A82"/>
    <w:rsid w:val="00F62D38"/>
    <w:rsid w:val="00F6335D"/>
    <w:rsid w:val="00F634F1"/>
    <w:rsid w:val="00F63E7C"/>
    <w:rsid w:val="00F6404E"/>
    <w:rsid w:val="00F645E1"/>
    <w:rsid w:val="00F651A5"/>
    <w:rsid w:val="00F6561F"/>
    <w:rsid w:val="00F66575"/>
    <w:rsid w:val="00F6691D"/>
    <w:rsid w:val="00F67B46"/>
    <w:rsid w:val="00F709FF"/>
    <w:rsid w:val="00F70A81"/>
    <w:rsid w:val="00F71254"/>
    <w:rsid w:val="00F71302"/>
    <w:rsid w:val="00F721ED"/>
    <w:rsid w:val="00F7314C"/>
    <w:rsid w:val="00F733F1"/>
    <w:rsid w:val="00F73C85"/>
    <w:rsid w:val="00F73DA3"/>
    <w:rsid w:val="00F7535D"/>
    <w:rsid w:val="00F754BB"/>
    <w:rsid w:val="00F76166"/>
    <w:rsid w:val="00F7718C"/>
    <w:rsid w:val="00F77203"/>
    <w:rsid w:val="00F77D57"/>
    <w:rsid w:val="00F80052"/>
    <w:rsid w:val="00F80306"/>
    <w:rsid w:val="00F80988"/>
    <w:rsid w:val="00F817E5"/>
    <w:rsid w:val="00F82597"/>
    <w:rsid w:val="00F83B80"/>
    <w:rsid w:val="00F83CC3"/>
    <w:rsid w:val="00F83D28"/>
    <w:rsid w:val="00F84B13"/>
    <w:rsid w:val="00F86016"/>
    <w:rsid w:val="00F8663F"/>
    <w:rsid w:val="00F86935"/>
    <w:rsid w:val="00F8771D"/>
    <w:rsid w:val="00F90577"/>
    <w:rsid w:val="00F9057B"/>
    <w:rsid w:val="00F90B37"/>
    <w:rsid w:val="00F91FB4"/>
    <w:rsid w:val="00F9208C"/>
    <w:rsid w:val="00F922F3"/>
    <w:rsid w:val="00F929A8"/>
    <w:rsid w:val="00F93382"/>
    <w:rsid w:val="00F93542"/>
    <w:rsid w:val="00F93B66"/>
    <w:rsid w:val="00F93D1D"/>
    <w:rsid w:val="00F9481F"/>
    <w:rsid w:val="00F94E0A"/>
    <w:rsid w:val="00F9554C"/>
    <w:rsid w:val="00F9620F"/>
    <w:rsid w:val="00F9655F"/>
    <w:rsid w:val="00F96F6D"/>
    <w:rsid w:val="00F971D0"/>
    <w:rsid w:val="00F972C3"/>
    <w:rsid w:val="00F97BE7"/>
    <w:rsid w:val="00F97C57"/>
    <w:rsid w:val="00F97FEF"/>
    <w:rsid w:val="00FA0643"/>
    <w:rsid w:val="00FA0C15"/>
    <w:rsid w:val="00FA0C42"/>
    <w:rsid w:val="00FA13D4"/>
    <w:rsid w:val="00FA3F35"/>
    <w:rsid w:val="00FA4DFC"/>
    <w:rsid w:val="00FA587F"/>
    <w:rsid w:val="00FA5998"/>
    <w:rsid w:val="00FA6449"/>
    <w:rsid w:val="00FA664A"/>
    <w:rsid w:val="00FA686C"/>
    <w:rsid w:val="00FA6C25"/>
    <w:rsid w:val="00FA70C1"/>
    <w:rsid w:val="00FA7408"/>
    <w:rsid w:val="00FA7964"/>
    <w:rsid w:val="00FA7B22"/>
    <w:rsid w:val="00FA7E75"/>
    <w:rsid w:val="00FB000F"/>
    <w:rsid w:val="00FB0080"/>
    <w:rsid w:val="00FB03D3"/>
    <w:rsid w:val="00FB1714"/>
    <w:rsid w:val="00FB3BCA"/>
    <w:rsid w:val="00FB5740"/>
    <w:rsid w:val="00FB784C"/>
    <w:rsid w:val="00FC211A"/>
    <w:rsid w:val="00FC2567"/>
    <w:rsid w:val="00FC4475"/>
    <w:rsid w:val="00FC52CD"/>
    <w:rsid w:val="00FC5339"/>
    <w:rsid w:val="00FC55BB"/>
    <w:rsid w:val="00FC61CD"/>
    <w:rsid w:val="00FC674F"/>
    <w:rsid w:val="00FC68DF"/>
    <w:rsid w:val="00FC7FFD"/>
    <w:rsid w:val="00FD079E"/>
    <w:rsid w:val="00FD1294"/>
    <w:rsid w:val="00FD2157"/>
    <w:rsid w:val="00FD3442"/>
    <w:rsid w:val="00FD34CB"/>
    <w:rsid w:val="00FD3B72"/>
    <w:rsid w:val="00FD4CEA"/>
    <w:rsid w:val="00FD5321"/>
    <w:rsid w:val="00FD609C"/>
    <w:rsid w:val="00FD61FD"/>
    <w:rsid w:val="00FD6D72"/>
    <w:rsid w:val="00FE0385"/>
    <w:rsid w:val="00FE09A7"/>
    <w:rsid w:val="00FE218C"/>
    <w:rsid w:val="00FE2207"/>
    <w:rsid w:val="00FE25BB"/>
    <w:rsid w:val="00FE274B"/>
    <w:rsid w:val="00FE3459"/>
    <w:rsid w:val="00FE561E"/>
    <w:rsid w:val="00FE6255"/>
    <w:rsid w:val="00FE6A1D"/>
    <w:rsid w:val="00FE6BAF"/>
    <w:rsid w:val="00FE6DA9"/>
    <w:rsid w:val="00FE6F47"/>
    <w:rsid w:val="00FE6F5B"/>
    <w:rsid w:val="00FE7A63"/>
    <w:rsid w:val="00FF05D1"/>
    <w:rsid w:val="00FF0A64"/>
    <w:rsid w:val="00FF1509"/>
    <w:rsid w:val="00FF223C"/>
    <w:rsid w:val="00FF2D80"/>
    <w:rsid w:val="00FF2EF8"/>
    <w:rsid w:val="00FF38C8"/>
    <w:rsid w:val="00FF4573"/>
    <w:rsid w:val="00FF4C7F"/>
    <w:rsid w:val="00FF4E2B"/>
    <w:rsid w:val="00FF4F0F"/>
    <w:rsid w:val="00FF5094"/>
    <w:rsid w:val="00FF5E05"/>
    <w:rsid w:val="00FF60A6"/>
    <w:rsid w:val="00FF662A"/>
    <w:rsid w:val="00FF7806"/>
    <w:rsid w:val="00FF7BB2"/>
    <w:rsid w:val="00FF7FE6"/>
    <w:rsid w:val="060EFA1F"/>
    <w:rsid w:val="0746616C"/>
    <w:rsid w:val="1C20FAE9"/>
    <w:rsid w:val="1E5C1E15"/>
    <w:rsid w:val="23FC3B62"/>
    <w:rsid w:val="28623503"/>
    <w:rsid w:val="2B7E74AB"/>
    <w:rsid w:val="2C0BCC97"/>
    <w:rsid w:val="2C61CCAB"/>
    <w:rsid w:val="2F175218"/>
    <w:rsid w:val="2F2D3ED4"/>
    <w:rsid w:val="2F71B5A1"/>
    <w:rsid w:val="37A3CABB"/>
    <w:rsid w:val="3B8FD353"/>
    <w:rsid w:val="3FA85BAD"/>
    <w:rsid w:val="40E8F890"/>
    <w:rsid w:val="48F8CD93"/>
    <w:rsid w:val="49276A90"/>
    <w:rsid w:val="4A925341"/>
    <w:rsid w:val="52C62D7A"/>
    <w:rsid w:val="536A586E"/>
    <w:rsid w:val="536EE4DB"/>
    <w:rsid w:val="56CDC23F"/>
    <w:rsid w:val="5FD41E00"/>
    <w:rsid w:val="60F9EACC"/>
    <w:rsid w:val="647A0889"/>
    <w:rsid w:val="64A96C42"/>
    <w:rsid w:val="66F4DCE6"/>
    <w:rsid w:val="68FEA1B1"/>
    <w:rsid w:val="6F9ECC83"/>
    <w:rsid w:val="71028850"/>
    <w:rsid w:val="72A0FE5D"/>
    <w:rsid w:val="736689FB"/>
    <w:rsid w:val="740D22D1"/>
    <w:rsid w:val="7E8A7366"/>
    <w:rsid w:val="7F8F9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63150F"/>
  <w15:docId w15:val="{AC748010-CD1D-4507-B631-8A135762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9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4" w:uiPriority="44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,PRI Body"/>
    <w:uiPriority w:val="5"/>
    <w:qFormat/>
    <w:rsid w:val="00D75F76"/>
    <w:pPr>
      <w:spacing w:after="0" w:line="312" w:lineRule="auto"/>
    </w:pPr>
    <w:rPr>
      <w:rFonts w:ascii="Arial" w:eastAsia="MS PGothic" w:hAnsi="Arial" w:cs="Times New Roman"/>
      <w:sz w:val="20"/>
      <w:szCs w:val="20"/>
    </w:rPr>
  </w:style>
  <w:style w:type="paragraph" w:styleId="Heading1">
    <w:name w:val="heading 1"/>
    <w:aliases w:val="Section title"/>
    <w:basedOn w:val="Normal"/>
    <w:next w:val="Normal"/>
    <w:link w:val="Heading1Char"/>
    <w:uiPriority w:val="1"/>
    <w:qFormat/>
    <w:rsid w:val="008643B7"/>
    <w:pPr>
      <w:keepNext/>
      <w:keepLines/>
      <w:spacing w:before="240"/>
      <w:outlineLvl w:val="0"/>
    </w:pPr>
    <w:rPr>
      <w:rFonts w:eastAsiaTheme="majorEastAsia" w:cstheme="majorBidi"/>
      <w:caps/>
      <w:color w:val="2F5496" w:themeColor="accent1" w:themeShade="BF"/>
      <w:sz w:val="40"/>
      <w:szCs w:val="32"/>
    </w:rPr>
  </w:style>
  <w:style w:type="paragraph" w:styleId="Heading2">
    <w:name w:val="heading 2"/>
    <w:aliases w:val="SubHeading 1"/>
    <w:basedOn w:val="Normal"/>
    <w:next w:val="Normal"/>
    <w:link w:val="Heading2Char"/>
    <w:uiPriority w:val="2"/>
    <w:qFormat/>
    <w:rsid w:val="008643B7"/>
    <w:pPr>
      <w:keepNext/>
      <w:keepLines/>
      <w:spacing w:before="240" w:after="120"/>
      <w:outlineLvl w:val="1"/>
    </w:pPr>
    <w:rPr>
      <w:rFonts w:eastAsiaTheme="majorEastAsia" w:cstheme="majorBidi"/>
      <w:b/>
      <w:caps/>
      <w:color w:val="00B0F0"/>
      <w:sz w:val="28"/>
      <w:szCs w:val="26"/>
    </w:rPr>
  </w:style>
  <w:style w:type="paragraph" w:styleId="Heading3">
    <w:name w:val="heading 3"/>
    <w:aliases w:val="Sub-Sub heading,PRI Heading 3"/>
    <w:basedOn w:val="Normal"/>
    <w:next w:val="Normal"/>
    <w:link w:val="Heading3Char"/>
    <w:uiPriority w:val="3"/>
    <w:qFormat/>
    <w:rsid w:val="008643B7"/>
    <w:pPr>
      <w:keepNext/>
      <w:keepLines/>
      <w:spacing w:before="40"/>
      <w:ind w:left="720" w:hanging="720"/>
      <w:outlineLvl w:val="2"/>
    </w:pPr>
    <w:rPr>
      <w:rFonts w:eastAsiaTheme="majorEastAsia" w:cstheme="majorBidi"/>
      <w:b/>
      <w:caps/>
      <w:color w:val="0070C0"/>
      <w:sz w:val="24"/>
      <w:szCs w:val="24"/>
    </w:rPr>
  </w:style>
  <w:style w:type="paragraph" w:styleId="Heading4">
    <w:name w:val="heading 4"/>
    <w:aliases w:val="Heading #3"/>
    <w:basedOn w:val="Normal"/>
    <w:next w:val="Normal"/>
    <w:link w:val="Heading4Char"/>
    <w:uiPriority w:val="5"/>
    <w:qFormat/>
    <w:rsid w:val="008643B7"/>
    <w:pPr>
      <w:keepNext/>
      <w:keepLines/>
      <w:spacing w:before="40"/>
      <w:outlineLvl w:val="3"/>
    </w:pPr>
    <w:rPr>
      <w:rFonts w:eastAsiaTheme="majorEastAsia" w:cstheme="majorBidi"/>
      <w:b/>
      <w:iCs/>
      <w:color w:val="00B0F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05C4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5C4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5C4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5C4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5C4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title Char"/>
    <w:basedOn w:val="DefaultParagraphFont"/>
    <w:link w:val="Heading1"/>
    <w:uiPriority w:val="1"/>
    <w:rsid w:val="008643B7"/>
    <w:rPr>
      <w:rFonts w:ascii="Arial" w:eastAsiaTheme="majorEastAsia" w:hAnsi="Arial" w:cstheme="majorBidi"/>
      <w:caps/>
      <w:color w:val="2F5496" w:themeColor="accent1" w:themeShade="BF"/>
      <w:sz w:val="40"/>
      <w:szCs w:val="32"/>
    </w:rPr>
  </w:style>
  <w:style w:type="character" w:customStyle="1" w:styleId="Heading2Char">
    <w:name w:val="Heading 2 Char"/>
    <w:aliases w:val="SubHeading 1 Char"/>
    <w:basedOn w:val="DefaultParagraphFont"/>
    <w:link w:val="Heading2"/>
    <w:uiPriority w:val="2"/>
    <w:rsid w:val="008643B7"/>
    <w:rPr>
      <w:rFonts w:ascii="Arial" w:eastAsiaTheme="majorEastAsia" w:hAnsi="Arial" w:cstheme="majorBidi"/>
      <w:b/>
      <w:caps/>
      <w:color w:val="00B0F0"/>
      <w:sz w:val="28"/>
      <w:szCs w:val="26"/>
    </w:rPr>
  </w:style>
  <w:style w:type="character" w:customStyle="1" w:styleId="Heading3Char">
    <w:name w:val="Heading 3 Char"/>
    <w:aliases w:val="Sub-Sub heading Char,PRI Heading 3 Char"/>
    <w:basedOn w:val="DefaultParagraphFont"/>
    <w:link w:val="Heading3"/>
    <w:uiPriority w:val="3"/>
    <w:rsid w:val="008643B7"/>
    <w:rPr>
      <w:rFonts w:ascii="Arial" w:eastAsiaTheme="majorEastAsia" w:hAnsi="Arial" w:cstheme="majorBidi"/>
      <w:b/>
      <w:caps/>
      <w:color w:val="0070C0"/>
      <w:sz w:val="24"/>
      <w:szCs w:val="24"/>
    </w:rPr>
  </w:style>
  <w:style w:type="character" w:customStyle="1" w:styleId="Heading4Char">
    <w:name w:val="Heading 4 Char"/>
    <w:aliases w:val="Heading #3 Char"/>
    <w:basedOn w:val="DefaultParagraphFont"/>
    <w:link w:val="Heading4"/>
    <w:uiPriority w:val="5"/>
    <w:rsid w:val="008643B7"/>
    <w:rPr>
      <w:rFonts w:ascii="Arial" w:eastAsiaTheme="majorEastAsia" w:hAnsi="Arial" w:cstheme="majorBidi"/>
      <w:b/>
      <w:iCs/>
      <w:color w:val="00B0F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5C4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5C4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5C4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5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5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aliases w:val="Main title,PRI Title"/>
    <w:basedOn w:val="Normal"/>
    <w:next w:val="Normal"/>
    <w:link w:val="TitleChar"/>
    <w:qFormat/>
    <w:rsid w:val="00406E77"/>
    <w:pPr>
      <w:pBdr>
        <w:bottom w:val="single" w:sz="4" w:space="3" w:color="000000" w:themeColor="text1"/>
      </w:pBdr>
      <w:spacing w:before="3200" w:after="420" w:line="240" w:lineRule="auto"/>
      <w:contextualSpacing/>
    </w:pPr>
    <w:rPr>
      <w:rFonts w:eastAsiaTheme="majorEastAsia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TitleChar">
    <w:name w:val="Title Char"/>
    <w:aliases w:val="Main title Char,PRI Title Char"/>
    <w:basedOn w:val="DefaultParagraphFont"/>
    <w:link w:val="Title"/>
    <w:rsid w:val="00406E77"/>
    <w:rPr>
      <w:rFonts w:ascii="Arial" w:eastAsiaTheme="majorEastAsia" w:hAnsi="Arial" w:cstheme="majorBidi"/>
      <w:caps/>
      <w:color w:val="000000" w:themeColor="text1"/>
      <w:spacing w:val="-10"/>
      <w:kern w:val="28"/>
      <w:sz w:val="48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5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5C4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PRI Bullets"/>
    <w:basedOn w:val="Normal"/>
    <w:uiPriority w:val="34"/>
    <w:qFormat/>
    <w:rsid w:val="009B05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FF8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FF8"/>
    <w:rPr>
      <w:rFonts w:ascii="Arial" w:hAnsi="Arial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A27FF8"/>
  </w:style>
  <w:style w:type="paragraph" w:styleId="TOCHeading">
    <w:name w:val="TOC Heading"/>
    <w:basedOn w:val="Normal"/>
    <w:next w:val="Normal"/>
    <w:uiPriority w:val="39"/>
    <w:unhideWhenUsed/>
    <w:qFormat/>
    <w:rsid w:val="00612767"/>
    <w:pPr>
      <w:spacing w:line="259" w:lineRule="auto"/>
    </w:pPr>
    <w:rPr>
      <w:rFonts w:eastAsiaTheme="majorEastAsia" w:cstheme="majorBidi"/>
      <w:color w:val="2F5496" w:themeColor="accent1" w:themeShade="BF"/>
      <w:sz w:val="40"/>
      <w:szCs w:val="32"/>
      <w:lang w:val="en-US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E057F3"/>
    <w:pPr>
      <w:tabs>
        <w:tab w:val="right" w:pos="9214"/>
      </w:tabs>
      <w:spacing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E057F3"/>
    <w:pPr>
      <w:tabs>
        <w:tab w:val="right" w:pos="9214"/>
      </w:tabs>
      <w:spacing w:after="100"/>
      <w:ind w:left="200"/>
    </w:pPr>
    <w:rPr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934309"/>
    <w:pPr>
      <w:ind w:left="397"/>
    </w:pPr>
  </w:style>
  <w:style w:type="character" w:styleId="Hyperlink">
    <w:name w:val="Hyperlink"/>
    <w:basedOn w:val="DefaultParagraphFont"/>
    <w:uiPriority w:val="99"/>
    <w:qFormat/>
    <w:rsid w:val="000C3673"/>
    <w:rPr>
      <w:color w:val="00B0F0"/>
      <w:u w:val="none"/>
    </w:rPr>
  </w:style>
  <w:style w:type="paragraph" w:styleId="ListBullet">
    <w:name w:val="List Bullet"/>
    <w:basedOn w:val="Normal"/>
    <w:uiPriority w:val="4"/>
    <w:qFormat/>
    <w:rsid w:val="009D76A6"/>
    <w:pPr>
      <w:numPr>
        <w:numId w:val="1"/>
      </w:numPr>
    </w:pPr>
  </w:style>
  <w:style w:type="paragraph" w:styleId="ListBullet2">
    <w:name w:val="List Bullet 2"/>
    <w:basedOn w:val="Normal"/>
    <w:uiPriority w:val="99"/>
    <w:semiHidden/>
    <w:unhideWhenUsed/>
    <w:rsid w:val="009D76A6"/>
    <w:pPr>
      <w:numPr>
        <w:numId w:val="2"/>
      </w:numPr>
      <w:contextualSpacing/>
    </w:pPr>
  </w:style>
  <w:style w:type="paragraph" w:styleId="ListBullet3">
    <w:name w:val="List Bullet 3"/>
    <w:basedOn w:val="Normal"/>
    <w:link w:val="ListBullet3Char"/>
    <w:uiPriority w:val="99"/>
    <w:unhideWhenUsed/>
    <w:rsid w:val="009D76A6"/>
    <w:pPr>
      <w:numPr>
        <w:numId w:val="5"/>
      </w:numPr>
      <w:contextualSpacing/>
    </w:pPr>
  </w:style>
  <w:style w:type="character" w:customStyle="1" w:styleId="ListBullet3Char">
    <w:name w:val="List Bullet 3 Char"/>
    <w:basedOn w:val="DefaultParagraphFont"/>
    <w:link w:val="ListBullet3"/>
    <w:uiPriority w:val="99"/>
    <w:rsid w:val="00A747EF"/>
    <w:rPr>
      <w:rFonts w:ascii="Arial" w:eastAsia="MS PGothic" w:hAnsi="Arial" w:cs="Times New Roman"/>
      <w:sz w:val="20"/>
      <w:szCs w:val="20"/>
    </w:rPr>
  </w:style>
  <w:style w:type="paragraph" w:styleId="Subtitle">
    <w:name w:val="Subtitle"/>
    <w:aliases w:val="Bullet list 2"/>
    <w:basedOn w:val="Normal"/>
    <w:next w:val="Normal"/>
    <w:link w:val="SubtitleChar"/>
    <w:uiPriority w:val="6"/>
    <w:qFormat/>
    <w:rsid w:val="00A747EF"/>
    <w:pPr>
      <w:numPr>
        <w:numId w:val="3"/>
      </w:numPr>
    </w:pPr>
    <w:rPr>
      <w:rFonts w:eastAsiaTheme="minorEastAsia" w:cs="Arial"/>
      <w:color w:val="000000" w:themeColor="text1"/>
    </w:rPr>
  </w:style>
  <w:style w:type="character" w:customStyle="1" w:styleId="SubtitleChar">
    <w:name w:val="Subtitle Char"/>
    <w:aliases w:val="Bullet list 2 Char"/>
    <w:basedOn w:val="DefaultParagraphFont"/>
    <w:link w:val="Subtitle"/>
    <w:uiPriority w:val="6"/>
    <w:rsid w:val="00FE09A7"/>
    <w:rPr>
      <w:rFonts w:ascii="Arial" w:eastAsiaTheme="minorEastAsia" w:hAnsi="Arial" w:cs="Arial"/>
      <w:color w:val="000000" w:themeColor="text1"/>
      <w:sz w:val="20"/>
      <w:szCs w:val="20"/>
    </w:rPr>
  </w:style>
  <w:style w:type="paragraph" w:customStyle="1" w:styleId="PRIQuoteBlue">
    <w:name w:val="PRI Quote Blue"/>
    <w:basedOn w:val="Quote"/>
    <w:link w:val="PRIQuoteBlueChar"/>
    <w:uiPriority w:val="8"/>
    <w:qFormat/>
    <w:rsid w:val="0057471B"/>
    <w:pPr>
      <w:spacing w:before="240" w:after="240"/>
      <w:ind w:left="0" w:right="0"/>
      <w:jc w:val="left"/>
    </w:pPr>
    <w:rPr>
      <w:i w:val="0"/>
      <w:iCs w:val="0"/>
      <w:color w:val="00B0F0"/>
      <w:sz w:val="32"/>
    </w:rPr>
  </w:style>
  <w:style w:type="paragraph" w:styleId="Quote">
    <w:name w:val="Quote"/>
    <w:basedOn w:val="Normal"/>
    <w:next w:val="Normal"/>
    <w:link w:val="QuoteChar"/>
    <w:uiPriority w:val="29"/>
    <w:rsid w:val="00574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71B"/>
    <w:rPr>
      <w:rFonts w:ascii="Arial" w:hAnsi="Arial"/>
      <w:i/>
      <w:iCs/>
      <w:color w:val="404040" w:themeColor="text1" w:themeTint="BF"/>
      <w:sz w:val="20"/>
    </w:rPr>
  </w:style>
  <w:style w:type="character" w:customStyle="1" w:styleId="PRIQuoteBlueChar">
    <w:name w:val="PRI Quote Blue Char"/>
    <w:basedOn w:val="DefaultParagraphFont"/>
    <w:link w:val="PRIQuoteBlue"/>
    <w:uiPriority w:val="8"/>
    <w:rsid w:val="00FE09A7"/>
    <w:rPr>
      <w:rFonts w:ascii="Arial" w:eastAsia="MS PGothic" w:hAnsi="Arial" w:cs="Times New Roman"/>
      <w:color w:val="00B0F0"/>
      <w:sz w:val="32"/>
      <w:szCs w:val="20"/>
    </w:rPr>
  </w:style>
  <w:style w:type="paragraph" w:customStyle="1" w:styleId="Bulletlist3">
    <w:name w:val="Bullet list 3"/>
    <w:basedOn w:val="ListBullet3"/>
    <w:link w:val="Bulletlist3Char"/>
    <w:uiPriority w:val="7"/>
    <w:qFormat/>
    <w:rsid w:val="00A747EF"/>
  </w:style>
  <w:style w:type="character" w:customStyle="1" w:styleId="Bulletlist3Char">
    <w:name w:val="Bullet list 3 Char"/>
    <w:basedOn w:val="ListBullet3Char"/>
    <w:link w:val="Bulletlist3"/>
    <w:uiPriority w:val="7"/>
    <w:rsid w:val="00FE09A7"/>
    <w:rPr>
      <w:rFonts w:ascii="Arial" w:eastAsia="MS PGothic" w:hAnsi="Arial" w:cs="Times New Roman"/>
      <w:sz w:val="20"/>
      <w:szCs w:val="20"/>
    </w:rPr>
  </w:style>
  <w:style w:type="paragraph" w:customStyle="1" w:styleId="Bullestlist2">
    <w:name w:val="Bullest list 2"/>
    <w:basedOn w:val="ListBullet"/>
    <w:uiPriority w:val="7"/>
    <w:rsid w:val="00A747EF"/>
    <w:pPr>
      <w:numPr>
        <w:numId w:val="4"/>
      </w:numPr>
    </w:pPr>
  </w:style>
  <w:style w:type="table" w:styleId="TableGrid">
    <w:name w:val="Table Grid"/>
    <w:basedOn w:val="TableNormal"/>
    <w:uiPriority w:val="39"/>
    <w:rsid w:val="00184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51">
    <w:name w:val="Grid Table 2 - Accent 51"/>
    <w:basedOn w:val="TableNormal"/>
    <w:uiPriority w:val="47"/>
    <w:rsid w:val="00184F1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unhideWhenUsed/>
    <w:rsid w:val="00743B12"/>
    <w:rPr>
      <w:color w:val="808080"/>
      <w:shd w:val="clear" w:color="auto" w:fill="E6E6E6"/>
    </w:rPr>
  </w:style>
  <w:style w:type="paragraph" w:customStyle="1" w:styleId="Bullet1">
    <w:name w:val="Bullet 1"/>
    <w:basedOn w:val="Normal"/>
    <w:rsid w:val="00743B12"/>
    <w:pPr>
      <w:numPr>
        <w:numId w:val="6"/>
      </w:numPr>
      <w:spacing w:before="60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paragraph" w:styleId="CommentText">
    <w:name w:val="annotation text"/>
    <w:basedOn w:val="Normal"/>
    <w:link w:val="CommentTextChar"/>
    <w:uiPriority w:val="99"/>
    <w:unhideWhenUsed/>
    <w:rsid w:val="00812A7A"/>
    <w:pPr>
      <w:spacing w:line="240" w:lineRule="auto"/>
    </w:pPr>
    <w:rPr>
      <w:rFonts w:ascii="Times New Roman" w:eastAsia="Times New Roman" w:hAnsi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2A7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ph">
    <w:name w:val="paragraph"/>
    <w:basedOn w:val="Normal"/>
    <w:rsid w:val="00743B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character" w:customStyle="1" w:styleId="normaltextrun">
    <w:name w:val="normaltextrun"/>
    <w:basedOn w:val="DefaultParagraphFont"/>
    <w:rsid w:val="00743B12"/>
  </w:style>
  <w:style w:type="character" w:styleId="Strong">
    <w:name w:val="Strong"/>
    <w:basedOn w:val="DefaultParagraphFont"/>
    <w:uiPriority w:val="9"/>
    <w:qFormat/>
    <w:rsid w:val="00D77F40"/>
    <w:rPr>
      <w:b/>
      <w:bCs/>
    </w:rPr>
  </w:style>
  <w:style w:type="paragraph" w:styleId="NormalWeb">
    <w:name w:val="Normal (Web)"/>
    <w:basedOn w:val="Normal"/>
    <w:uiPriority w:val="99"/>
    <w:unhideWhenUsed/>
    <w:rsid w:val="00D75F76"/>
    <w:pPr>
      <w:spacing w:before="100" w:beforeAutospacing="1" w:after="100" w:afterAutospacing="1"/>
    </w:pPr>
    <w:rPr>
      <w:rFonts w:ascii="Times" w:hAnsi="Times"/>
    </w:rPr>
  </w:style>
  <w:style w:type="table" w:customStyle="1" w:styleId="PRITable2">
    <w:name w:val="PRI Table 2"/>
    <w:basedOn w:val="TableNormal"/>
    <w:uiPriority w:val="99"/>
    <w:rsid w:val="00D75F76"/>
    <w:pPr>
      <w:spacing w:after="0" w:line="312" w:lineRule="auto"/>
      <w:ind w:left="170" w:right="170" w:hanging="357"/>
    </w:pPr>
    <w:rPr>
      <w:rFonts w:ascii="Arial" w:eastAsia="MS PGothic" w:hAnsi="Arial" w:cs="Times New Roman"/>
      <w:sz w:val="20"/>
      <w:szCs w:val="20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113" w:type="dxa"/>
        <w:left w:w="0" w:type="dxa"/>
        <w:bottom w:w="113" w:type="dxa"/>
        <w:right w:w="0" w:type="dxa"/>
      </w:tblCellMar>
    </w:tblPr>
    <w:tcPr>
      <w:tcMar>
        <w:top w:w="57" w:type="dxa"/>
        <w:bottom w:w="57" w:type="dxa"/>
      </w:tcMar>
    </w:tcPr>
    <w:tblStylePr w:type="firstRow">
      <w:pPr>
        <w:wordWrap/>
        <w:spacing w:beforeLines="0" w:beforeAutospacing="0" w:afterLines="0" w:afterAutospacing="0"/>
        <w:ind w:leftChars="0" w:left="170" w:rightChars="0" w:right="170"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FFFFFF" w:themeColor="background1"/>
        <w:kern w:val="0"/>
        <w:sz w:val="24"/>
        <w:szCs w:val="24"/>
        <w:vertAlign w:val="baseline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FFFFFF"/>
        </w:tcBorders>
        <w:shd w:val="clear" w:color="auto" w:fill="1875C1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83508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3508"/>
    <w:rPr>
      <w:rFonts w:ascii="Arial" w:eastAsia="MS PGothic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83508"/>
    <w:pPr>
      <w:spacing w:line="240" w:lineRule="auto"/>
    </w:pPr>
    <w:rPr>
      <w:color w:val="767171" w:themeColor="background2" w:themeShade="80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3508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customStyle="1" w:styleId="Footnotes">
    <w:name w:val="Footnotes"/>
    <w:basedOn w:val="FootnoteText"/>
    <w:next w:val="FootnoteText"/>
    <w:link w:val="FootnotesChar"/>
    <w:uiPriority w:val="5"/>
    <w:qFormat/>
    <w:rsid w:val="00AC0A51"/>
    <w:pPr>
      <w:widowControl w:val="0"/>
      <w:autoSpaceDE w:val="0"/>
      <w:autoSpaceDN w:val="0"/>
      <w:adjustRightInd w:val="0"/>
      <w:contextualSpacing/>
    </w:pPr>
  </w:style>
  <w:style w:type="character" w:customStyle="1" w:styleId="FootnotesChar">
    <w:name w:val="Footnotes Char"/>
    <w:basedOn w:val="FootnoteTextChar"/>
    <w:link w:val="Footnotes"/>
    <w:uiPriority w:val="5"/>
    <w:rsid w:val="00AC0A51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customStyle="1" w:styleId="eop">
    <w:name w:val="eop"/>
    <w:basedOn w:val="DefaultParagraphFont"/>
    <w:rsid w:val="00F573C1"/>
  </w:style>
  <w:style w:type="character" w:styleId="CommentReference">
    <w:name w:val="annotation reference"/>
    <w:basedOn w:val="DefaultParagraphFont"/>
    <w:uiPriority w:val="99"/>
    <w:semiHidden/>
    <w:unhideWhenUsed/>
    <w:rsid w:val="00F573C1"/>
    <w:rPr>
      <w:sz w:val="16"/>
      <w:szCs w:val="16"/>
    </w:rPr>
  </w:style>
  <w:style w:type="paragraph" w:customStyle="1" w:styleId="2Body">
    <w:name w:val="2 Body"/>
    <w:basedOn w:val="Normal"/>
    <w:uiPriority w:val="99"/>
    <w:rsid w:val="00AF407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lright Sans Regular" w:eastAsiaTheme="minorHAnsi" w:hAnsi="Alright Sans Regular" w:cs="Alright Sans Regular"/>
      <w:color w:val="000000"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1F19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948"/>
    <w:rPr>
      <w:rFonts w:ascii="Arial" w:eastAsia="MS PGothic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948"/>
    <w:rPr>
      <w:rFonts w:ascii="Arial" w:eastAsia="MS PGothic" w:hAnsi="Arial" w:cs="Times New Roman"/>
      <w:b/>
      <w:bCs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75786B"/>
    <w:pPr>
      <w:spacing w:after="0" w:line="240" w:lineRule="auto"/>
    </w:pPr>
    <w:rPr>
      <w:rFonts w:ascii="Arial" w:eastAsia="MS PGothic" w:hAnsi="Arial" w:cs="Times New Roman"/>
      <w:sz w:val="20"/>
      <w:szCs w:val="20"/>
    </w:rPr>
  </w:style>
  <w:style w:type="table" w:customStyle="1" w:styleId="GridTable4-Accent11">
    <w:name w:val="Grid Table 4 - Accent 11"/>
    <w:basedOn w:val="TableNormal"/>
    <w:uiPriority w:val="49"/>
    <w:rsid w:val="002F44C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72B86"/>
    <w:rPr>
      <w:color w:val="954F72" w:themeColor="followedHyperlink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7C41D6"/>
    <w:rPr>
      <w:color w:val="2B579A"/>
      <w:shd w:val="clear" w:color="auto" w:fill="E1DFDD"/>
    </w:rPr>
  </w:style>
  <w:style w:type="paragraph" w:customStyle="1" w:styleId="Indicatorsubsection">
    <w:name w:val="Indicator subsection"/>
    <w:basedOn w:val="Heading2"/>
    <w:uiPriority w:val="5"/>
    <w:qFormat/>
    <w:rsid w:val="003F337B"/>
    <w:pPr>
      <w:spacing w:before="0" w:after="100" w:afterAutospacing="1"/>
      <w:jc w:val="center"/>
    </w:pPr>
    <w:rPr>
      <w:rFonts w:eastAsia="Times New Roman" w:cs="Arial"/>
      <w:bCs/>
      <w:caps w:val="0"/>
      <w:color w:val="000000" w:themeColor="text1"/>
      <w:sz w:val="22"/>
      <w:szCs w:val="22"/>
      <w:lang w:val="en-US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860A1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CB14EF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CB14EF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CB14EF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CB14EF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CB14EF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styleId="UnresolvedMention">
    <w:name w:val="Unresolved Mention"/>
    <w:basedOn w:val="DefaultParagraphFont"/>
    <w:uiPriority w:val="99"/>
    <w:unhideWhenUsed/>
    <w:rsid w:val="00CB14E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B3E49"/>
    <w:rPr>
      <w:color w:val="2B579A"/>
      <w:shd w:val="clear" w:color="auto" w:fill="E1DFDD"/>
    </w:rPr>
  </w:style>
  <w:style w:type="table" w:styleId="GridTable4-Accent5">
    <w:name w:val="Grid Table 4 Accent 5"/>
    <w:basedOn w:val="TableNormal"/>
    <w:uiPriority w:val="49"/>
    <w:rsid w:val="0033197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PlainTable4">
    <w:name w:val="Plain Table 4"/>
    <w:basedOn w:val="TableNormal"/>
    <w:uiPriority w:val="44"/>
    <w:rsid w:val="003319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1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4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6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4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6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9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8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0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8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6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9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7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2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6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5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5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6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3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0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1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88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4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8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5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7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5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8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8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1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5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0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53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6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8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1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5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47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6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8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8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4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1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3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3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2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4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0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9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76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9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4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9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3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2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5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71670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2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5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9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1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67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1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unpri.org/reporting-and-assessment/reporting-framework-glossary/6937.article" TargetMode="External"/><Relationship Id="rId21" Type="http://schemas.openxmlformats.org/officeDocument/2006/relationships/hyperlink" Target="https://www.unpri.org/introducing-confidence-building-measures-to-pri-signatories-reported-data/2954.article" TargetMode="External"/><Relationship Id="rId42" Type="http://schemas.openxmlformats.org/officeDocument/2006/relationships/hyperlink" Target="https://www.investeurope.eu/industry-standards/professional-standards/" TargetMode="External"/><Relationship Id="rId47" Type="http://schemas.openxmlformats.org/officeDocument/2006/relationships/hyperlink" Target="https://www.auasb.gov.au/Pronouncements/Standards-on-Assurance-Engagements/ASAE-3410A.aspx" TargetMode="External"/><Relationship Id="rId63" Type="http://schemas.openxmlformats.org/officeDocument/2006/relationships/hyperlink" Target="https://www.unpri.org/reporting-and-assessment/reporting-framework-glossary/6937.article" TargetMode="External"/><Relationship Id="rId68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npri.org/reporting-and-assessment/reporting-framework-glossary/6937.article" TargetMode="External"/><Relationship Id="rId29" Type="http://schemas.openxmlformats.org/officeDocument/2006/relationships/hyperlink" Target="https://www.unpri.org/pri/a-blueprint-for-responsible-investment" TargetMode="External"/><Relationship Id="rId11" Type="http://schemas.openxmlformats.org/officeDocument/2006/relationships/image" Target="media/image1.png"/><Relationship Id="rId24" Type="http://schemas.openxmlformats.org/officeDocument/2006/relationships/hyperlink" Target="https://www.unpri.org/reporting-and-assessment/reporting-framework-glossary/6937.article" TargetMode="External"/><Relationship Id="rId32" Type="http://schemas.openxmlformats.org/officeDocument/2006/relationships/hyperlink" Target="https://www.unpri.org/pri/a-blueprint-for-responsible-investment" TargetMode="External"/><Relationship Id="rId37" Type="http://schemas.openxmlformats.org/officeDocument/2006/relationships/hyperlink" Target="https://www.idw.de/idw/verlautbarungen/idw-ass-821---aufgehoben-durch-den-hfa-am-27-05-2020/43232" TargetMode="External"/><Relationship Id="rId40" Type="http://schemas.openxmlformats.org/officeDocument/2006/relationships/hyperlink" Target="https://www.ifc.org/wps/wcm/connect/topics_ext_content/ifc_external_corporate_site/sustainability-at-ifc/policies-standards/performance-standards" TargetMode="External"/><Relationship Id="rId45" Type="http://schemas.openxmlformats.org/officeDocument/2006/relationships/hyperlink" Target="https://www.iso.org/standard/42546.html" TargetMode="External"/><Relationship Id="rId53" Type="http://schemas.openxmlformats.org/officeDocument/2006/relationships/hyperlink" Target="https://www.unpri.org/reporting-and-assessment/reporting-framework-glossary/6937.article" TargetMode="External"/><Relationship Id="rId58" Type="http://schemas.openxmlformats.org/officeDocument/2006/relationships/hyperlink" Target="https://www.unpri.org/pri/a-blueprint-for-responsible-investment" TargetMode="External"/><Relationship Id="rId66" Type="http://schemas.openxmlformats.org/officeDocument/2006/relationships/footer" Target="footer1.xml"/><Relationship Id="rId5" Type="http://schemas.openxmlformats.org/officeDocument/2006/relationships/numbering" Target="numbering.xml"/><Relationship Id="rId61" Type="http://schemas.openxmlformats.org/officeDocument/2006/relationships/hyperlink" Target="https://www.unpri.org/pri/a-blueprint-for-responsible-investment" TargetMode="External"/><Relationship Id="rId19" Type="http://schemas.openxmlformats.org/officeDocument/2006/relationships/hyperlink" Target="https://www.unpri.org/reporting-definitions" TargetMode="External"/><Relationship Id="rId14" Type="http://schemas.openxmlformats.org/officeDocument/2006/relationships/hyperlink" Target="https://www.unpri.org/reporting-definitions" TargetMode="External"/><Relationship Id="rId22" Type="http://schemas.openxmlformats.org/officeDocument/2006/relationships/hyperlink" Target="https://www.unpri.org/reporting-definitions" TargetMode="External"/><Relationship Id="rId27" Type="http://schemas.openxmlformats.org/officeDocument/2006/relationships/hyperlink" Target="https://www.unpri.org/reporting-and-assessment/reporting-framework-glossary/6937.article" TargetMode="External"/><Relationship Id="rId30" Type="http://schemas.openxmlformats.org/officeDocument/2006/relationships/hyperlink" Target="https://www.unpri.org/introducing-confidence-building-measures-to-pri-signatories-reported-data/2954.article" TargetMode="External"/><Relationship Id="rId35" Type="http://schemas.openxmlformats.org/officeDocument/2006/relationships/hyperlink" Target="https://www.nba.nl/tools/hra-2017/?folder=4646" TargetMode="External"/><Relationship Id="rId43" Type="http://schemas.openxmlformats.org/officeDocument/2006/relationships/hyperlink" Target="https://www.ifac.org/system/files/downloads/b014-2010-iaasb-handbook-isae-3402.pdf" TargetMode="External"/><Relationship Id="rId48" Type="http://schemas.openxmlformats.org/officeDocument/2006/relationships/hyperlink" Target="https://carbonaccountingfinancials.com/" TargetMode="External"/><Relationship Id="rId56" Type="http://schemas.openxmlformats.org/officeDocument/2006/relationships/hyperlink" Target="https://www.unpri.org/reporting-and-assessment/reporting-framework-glossary/6937.article" TargetMode="External"/><Relationship Id="rId64" Type="http://schemas.openxmlformats.org/officeDocument/2006/relationships/hyperlink" Target="https://www.unpri.org/pri/a-blueprint-for-responsible-investment" TargetMode="External"/><Relationship Id="rId69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yperlink" Target="https://www.unpri.org/reporting-definitions" TargetMode="Externa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hyperlink" Target="https://www.unpri.org/reporting-definitions" TargetMode="External"/><Relationship Id="rId25" Type="http://schemas.openxmlformats.org/officeDocument/2006/relationships/hyperlink" Target="https://www.unpri.org/reporting-and-assessment/reporting-framework-glossary/6937.article" TargetMode="External"/><Relationship Id="rId33" Type="http://schemas.openxmlformats.org/officeDocument/2006/relationships/hyperlink" Target="https://www.bsigroup.com/en-GB/pas-7341/" TargetMode="External"/><Relationship Id="rId38" Type="http://schemas.openxmlformats.org/officeDocument/2006/relationships/hyperlink" Target="https://www.accountability.org/standards/aa1000-assurance-standard/" TargetMode="External"/><Relationship Id="rId46" Type="http://schemas.openxmlformats.org/officeDocument/2006/relationships/hyperlink" Target="https://www.iso.org/standard/74257.html" TargetMode="External"/><Relationship Id="rId59" Type="http://schemas.openxmlformats.org/officeDocument/2006/relationships/hyperlink" Target="https://www.unpri.org/introducing-confidence-building-measures-to-pri-signatories-reported-data/2954.article" TargetMode="External"/><Relationship Id="rId67" Type="http://schemas.openxmlformats.org/officeDocument/2006/relationships/footer" Target="footer2.xml"/><Relationship Id="rId20" Type="http://schemas.openxmlformats.org/officeDocument/2006/relationships/hyperlink" Target="https://www.unpri.org/pri/a-blueprint-for-responsible-investment" TargetMode="External"/><Relationship Id="rId41" Type="http://schemas.openxmlformats.org/officeDocument/2006/relationships/hyperlink" Target="https://www.aicpa.org/interestareas/frc/assuranceadvisoryservices/sorhome.html" TargetMode="External"/><Relationship Id="rId54" Type="http://schemas.openxmlformats.org/officeDocument/2006/relationships/hyperlink" Target="https://www.unpri.org/reporting-and-assessment/reporting-framework-glossary/6937.article" TargetMode="External"/><Relationship Id="rId62" Type="http://schemas.openxmlformats.org/officeDocument/2006/relationships/hyperlink" Target="https://www.unpri.org/introducing-confidence-building-measures-to-pri-signatories-reported-data/2954.articl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www.unpri.org/reporting-definitions" TargetMode="External"/><Relationship Id="rId23" Type="http://schemas.openxmlformats.org/officeDocument/2006/relationships/hyperlink" Target="https://www.unpri.org/reporting-and-assessment/reporting-framework-glossary/6937.article" TargetMode="External"/><Relationship Id="rId28" Type="http://schemas.openxmlformats.org/officeDocument/2006/relationships/hyperlink" Target="https://www.unpri.org/reporting-and-assessment/reporting-framework-glossary/6937.article" TargetMode="External"/><Relationship Id="rId36" Type="http://schemas.openxmlformats.org/officeDocument/2006/relationships/hyperlink" Target="https://www.faronline.se/dokument/far/revr/revr0006/" TargetMode="External"/><Relationship Id="rId49" Type="http://schemas.openxmlformats.org/officeDocument/2006/relationships/hyperlink" Target="http://www.cleanenergyregulator.gov.au/NGER/Pages/Reporting%20cycle/Complying%20with%20NGER/Use-of-voluntary-assurance-audit-reports-for-National-Greenhouse-and-Energy-Reporting.aspx" TargetMode="External"/><Relationship Id="rId57" Type="http://schemas.openxmlformats.org/officeDocument/2006/relationships/hyperlink" Target="https://www.unpri.org/reporting-and-assessment/reporting-framework-glossary/6937.article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www.unpri.org/reporting-definitions" TargetMode="External"/><Relationship Id="rId44" Type="http://schemas.openxmlformats.org/officeDocument/2006/relationships/hyperlink" Target="https://www.icaew.com/-/media/corporate/files/technical/audit-and-assurance/assurance/tech-release-aaf-01-06.ashx" TargetMode="External"/><Relationship Id="rId52" Type="http://schemas.openxmlformats.org/officeDocument/2006/relationships/hyperlink" Target="https://www.unpri.org/reporting-and-assessment/reporting-framework-glossary/6937.article" TargetMode="External"/><Relationship Id="rId60" Type="http://schemas.openxmlformats.org/officeDocument/2006/relationships/hyperlink" Target="https://www.unpri.org/reporting-definitions" TargetMode="External"/><Relationship Id="rId65" Type="http://schemas.openxmlformats.org/officeDocument/2006/relationships/hyperlink" Target="https://www.unpri.org/introducing-confidence-building-measures-to-pri-signatories-reported-data/2954.articl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www.unpri.org/reporting-definitions" TargetMode="External"/><Relationship Id="rId18" Type="http://schemas.openxmlformats.org/officeDocument/2006/relationships/hyperlink" Target="https://www.unpri.org/reporting-definitions" TargetMode="External"/><Relationship Id="rId39" Type="http://schemas.openxmlformats.org/officeDocument/2006/relationships/hyperlink" Target="https://www.ungpreporting.org/wp-content/uploads/UNGPRF_AssuranceGuidance_AMexternalassurance.pdf" TargetMode="External"/><Relationship Id="rId34" Type="http://schemas.openxmlformats.org/officeDocument/2006/relationships/hyperlink" Target="https://www.iaasb.org/publications/international-standard-assurance-engagements-isae-3000-revised-assurance-engagements-other-audits-or-0" TargetMode="External"/><Relationship Id="rId50" Type="http://schemas.openxmlformats.org/officeDocument/2006/relationships/hyperlink" Target="https://www.unpri.org/introducing-confidence-building-measures-to-pri-signatories-reported-data/2954.article" TargetMode="External"/><Relationship Id="rId55" Type="http://schemas.openxmlformats.org/officeDocument/2006/relationships/hyperlink" Target="https://www.unpri.org/reporting-and-assessment/reporting-framework-glossary/6937.article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reporting@unpri.org" TargetMode="External"/><Relationship Id="rId1" Type="http://schemas.openxmlformats.org/officeDocument/2006/relationships/hyperlink" Target="mailto:reporting@unpri.or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eporting@unpri.org" TargetMode="External"/><Relationship Id="rId2" Type="http://schemas.openxmlformats.org/officeDocument/2006/relationships/hyperlink" Target="mailto:reporting@unpri.org" TargetMode="External"/><Relationship Id="rId1" Type="http://schemas.openxmlformats.org/officeDocument/2006/relationships/image" Target="media/image3.pn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2cb5e-90ed-446c-b55a-c8efd3225fcc" xsi:nil="true"/>
    <SharedWithUsers xmlns="58f4f345-4ad1-474b-8443-5afef2d903e3">
      <UserInfo>
        <DisplayName/>
        <AccountId xsi:nil="true"/>
        <AccountType/>
      </UserInfo>
    </SharedWithUsers>
    <lcf76f155ced4ddcb4097134ff3c332f xmlns="dfe8e5e2-cac9-475e-8829-d37eb43a1190">
      <Terms xmlns="http://schemas.microsoft.com/office/infopath/2007/PartnerControls"/>
    </lcf76f155ced4ddcb4097134ff3c332f>
    <MediaLengthInSeconds xmlns="dfe8e5e2-cac9-475e-8829-d37eb43a1190" xsi:nil="true"/>
    <Date xmlns="dfe8e5e2-cac9-475e-8829-d37eb43a1190" xsi:nil="true"/>
    <Comments xmlns="dfe8e5e2-cac9-475e-8829-d37eb43a119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AB7C73F8273E4BAC8C97C539FF78CD" ma:contentTypeVersion="23" ma:contentTypeDescription="Create a new document." ma:contentTypeScope="" ma:versionID="8dbbd2a819c84d355848d658fd210462">
  <xsd:schema xmlns:xsd="http://www.w3.org/2001/XMLSchema" xmlns:xs="http://www.w3.org/2001/XMLSchema" xmlns:p="http://schemas.microsoft.com/office/2006/metadata/properties" xmlns:ns2="58f4f345-4ad1-474b-8443-5afef2d903e3" xmlns:ns3="d1f2cb5e-90ed-446c-b55a-c8efd3225fcc" xmlns:ns4="dfe8e5e2-cac9-475e-8829-d37eb43a1190" targetNamespace="http://schemas.microsoft.com/office/2006/metadata/properties" ma:root="true" ma:fieldsID="60d892c4a71f5fc6da58112cdacf56bf" ns2:_="" ns3:_="" ns4:_="">
    <xsd:import namespace="58f4f345-4ad1-474b-8443-5afef2d903e3"/>
    <xsd:import namespace="d1f2cb5e-90ed-446c-b55a-c8efd3225fcc"/>
    <xsd:import namespace="dfe8e5e2-cac9-475e-8829-d37eb43a119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Comment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Dat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4f345-4ad1-474b-8443-5afef2d903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cb5e-90ed-446c-b55a-c8efd3225fcc" elementFormDefault="qualified">
    <xsd:import namespace="http://schemas.microsoft.com/office/2006/documentManagement/types"/>
    <xsd:import namespace="http://schemas.microsoft.com/office/infopath/2007/PartnerControls"/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3c09748c-ffa1-40e6-81ea-584adcb248df}" ma:internalName="TaxCatchAll" ma:showField="CatchAllData" ma:web="d1f2cb5e-90ed-446c-b55a-c8efd3225f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8e5e2-cac9-475e-8829-d37eb43a1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Comments" ma:index="17" nillable="true" ma:displayName="Comments (files can be opened in Notepad++ or SQL Management Studio)" ma:internalName="Comments">
      <xsd:simpleType>
        <xsd:restriction base="dms:Text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c3e079f-49a6-4469-a386-52a810ba09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7" nillable="true" ma:displayName="Date" ma:format="DateOnly" ma:internalName="Date">
      <xsd:simpleType>
        <xsd:restriction base="dms:DateTim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03BC17-A6F5-4B71-B4EE-F7C336664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7DDAC0-1522-441B-BC73-3219AD52EA12}">
  <ds:schemaRefs>
    <ds:schemaRef ds:uri="http://schemas.microsoft.com/office/2006/metadata/properties"/>
    <ds:schemaRef ds:uri="http://schemas.microsoft.com/office/infopath/2007/PartnerControls"/>
    <ds:schemaRef ds:uri="d1f2cb5e-90ed-446c-b55a-c8efd3225fcc"/>
    <ds:schemaRef ds:uri="58f4f345-4ad1-474b-8443-5afef2d903e3"/>
    <ds:schemaRef ds:uri="6c047639-dc15-4fdd-9fca-6e66ab8f69f7"/>
  </ds:schemaRefs>
</ds:datastoreItem>
</file>

<file path=customXml/itemProps3.xml><?xml version="1.0" encoding="utf-8"?>
<ds:datastoreItem xmlns:ds="http://schemas.openxmlformats.org/officeDocument/2006/customXml" ds:itemID="{C057DBA0-BF2E-4C1F-A341-B383B353EA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E0ECBC-DC05-4F77-B210-34D4A35289F7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3623</Words>
  <Characters>20652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24227</CharactersWithSpaces>
  <SharedDoc>false</SharedDoc>
  <HLinks>
    <vt:vector size="402" baseType="variant">
      <vt:variant>
        <vt:i4>5636180</vt:i4>
      </vt:variant>
      <vt:variant>
        <vt:i4>231</vt:i4>
      </vt:variant>
      <vt:variant>
        <vt:i4>0</vt:i4>
      </vt:variant>
      <vt:variant>
        <vt:i4>5</vt:i4>
      </vt:variant>
      <vt:variant>
        <vt:lpwstr>https://www.unpri.org/introducing-confidence-building-measures-to-pri-signatories-reported-data/2954.article</vt:lpwstr>
      </vt:variant>
      <vt:variant>
        <vt:lpwstr/>
      </vt:variant>
      <vt:variant>
        <vt:i4>1048647</vt:i4>
      </vt:variant>
      <vt:variant>
        <vt:i4>228</vt:i4>
      </vt:variant>
      <vt:variant>
        <vt:i4>0</vt:i4>
      </vt:variant>
      <vt:variant>
        <vt:i4>5</vt:i4>
      </vt:variant>
      <vt:variant>
        <vt:lpwstr>https://www.unpri.org/pri/a-blueprint-for-responsible-investment</vt:lpwstr>
      </vt:variant>
      <vt:variant>
        <vt:lpwstr/>
      </vt:variant>
      <vt:variant>
        <vt:i4>917571</vt:i4>
      </vt:variant>
      <vt:variant>
        <vt:i4>225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5636180</vt:i4>
      </vt:variant>
      <vt:variant>
        <vt:i4>222</vt:i4>
      </vt:variant>
      <vt:variant>
        <vt:i4>0</vt:i4>
      </vt:variant>
      <vt:variant>
        <vt:i4>5</vt:i4>
      </vt:variant>
      <vt:variant>
        <vt:lpwstr>https://www.unpri.org/introducing-confidence-building-measures-to-pri-signatories-reported-data/2954.article</vt:lpwstr>
      </vt:variant>
      <vt:variant>
        <vt:lpwstr/>
      </vt:variant>
      <vt:variant>
        <vt:i4>1048647</vt:i4>
      </vt:variant>
      <vt:variant>
        <vt:i4>219</vt:i4>
      </vt:variant>
      <vt:variant>
        <vt:i4>0</vt:i4>
      </vt:variant>
      <vt:variant>
        <vt:i4>5</vt:i4>
      </vt:variant>
      <vt:variant>
        <vt:lpwstr>https://www.unpri.org/pri/a-blueprint-for-responsible-investment</vt:lpwstr>
      </vt:variant>
      <vt:variant>
        <vt:lpwstr/>
      </vt:variant>
      <vt:variant>
        <vt:i4>7864365</vt:i4>
      </vt:variant>
      <vt:variant>
        <vt:i4>216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5636180</vt:i4>
      </vt:variant>
      <vt:variant>
        <vt:i4>213</vt:i4>
      </vt:variant>
      <vt:variant>
        <vt:i4>0</vt:i4>
      </vt:variant>
      <vt:variant>
        <vt:i4>5</vt:i4>
      </vt:variant>
      <vt:variant>
        <vt:lpwstr>https://www.unpri.org/introducing-confidence-building-measures-to-pri-signatories-reported-data/2954.article</vt:lpwstr>
      </vt:variant>
      <vt:variant>
        <vt:lpwstr/>
      </vt:variant>
      <vt:variant>
        <vt:i4>1048647</vt:i4>
      </vt:variant>
      <vt:variant>
        <vt:i4>210</vt:i4>
      </vt:variant>
      <vt:variant>
        <vt:i4>0</vt:i4>
      </vt:variant>
      <vt:variant>
        <vt:i4>5</vt:i4>
      </vt:variant>
      <vt:variant>
        <vt:lpwstr>https://www.unpri.org/pri/a-blueprint-for-responsible-investment</vt:lpwstr>
      </vt:variant>
      <vt:variant>
        <vt:lpwstr/>
      </vt:variant>
      <vt:variant>
        <vt:i4>917571</vt:i4>
      </vt:variant>
      <vt:variant>
        <vt:i4>207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204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201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198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195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192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7864365</vt:i4>
      </vt:variant>
      <vt:variant>
        <vt:i4>189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5636180</vt:i4>
      </vt:variant>
      <vt:variant>
        <vt:i4>186</vt:i4>
      </vt:variant>
      <vt:variant>
        <vt:i4>0</vt:i4>
      </vt:variant>
      <vt:variant>
        <vt:i4>5</vt:i4>
      </vt:variant>
      <vt:variant>
        <vt:lpwstr>https://www.unpri.org/introducing-confidence-building-measures-to-pri-signatories-reported-data/2954.article</vt:lpwstr>
      </vt:variant>
      <vt:variant>
        <vt:lpwstr/>
      </vt:variant>
      <vt:variant>
        <vt:i4>6226014</vt:i4>
      </vt:variant>
      <vt:variant>
        <vt:i4>183</vt:i4>
      </vt:variant>
      <vt:variant>
        <vt:i4>0</vt:i4>
      </vt:variant>
      <vt:variant>
        <vt:i4>5</vt:i4>
      </vt:variant>
      <vt:variant>
        <vt:lpwstr>http://www.cleanenergyregulator.gov.au/NGER/Pages/Reporting cycle/Complying with NGER/Use-of-voluntary-assurance-audit-reports-for-National-Greenhouse-and-Energy-Reporting.aspx</vt:lpwstr>
      </vt:variant>
      <vt:variant>
        <vt:lpwstr/>
      </vt:variant>
      <vt:variant>
        <vt:i4>6750321</vt:i4>
      </vt:variant>
      <vt:variant>
        <vt:i4>180</vt:i4>
      </vt:variant>
      <vt:variant>
        <vt:i4>0</vt:i4>
      </vt:variant>
      <vt:variant>
        <vt:i4>5</vt:i4>
      </vt:variant>
      <vt:variant>
        <vt:lpwstr>https://carbonaccountingfinancials.com/</vt:lpwstr>
      </vt:variant>
      <vt:variant>
        <vt:lpwstr/>
      </vt:variant>
      <vt:variant>
        <vt:i4>4128811</vt:i4>
      </vt:variant>
      <vt:variant>
        <vt:i4>177</vt:i4>
      </vt:variant>
      <vt:variant>
        <vt:i4>0</vt:i4>
      </vt:variant>
      <vt:variant>
        <vt:i4>5</vt:i4>
      </vt:variant>
      <vt:variant>
        <vt:lpwstr>https://www.auasb.gov.au/Pronouncements/Standards-on-Assurance-Engagements/ASAE-3410A.aspx</vt:lpwstr>
      </vt:variant>
      <vt:variant>
        <vt:lpwstr/>
      </vt:variant>
      <vt:variant>
        <vt:i4>6291518</vt:i4>
      </vt:variant>
      <vt:variant>
        <vt:i4>174</vt:i4>
      </vt:variant>
      <vt:variant>
        <vt:i4>0</vt:i4>
      </vt:variant>
      <vt:variant>
        <vt:i4>5</vt:i4>
      </vt:variant>
      <vt:variant>
        <vt:lpwstr>https://www.iso.org/standard/74257.html</vt:lpwstr>
      </vt:variant>
      <vt:variant>
        <vt:lpwstr/>
      </vt:variant>
      <vt:variant>
        <vt:i4>6619193</vt:i4>
      </vt:variant>
      <vt:variant>
        <vt:i4>171</vt:i4>
      </vt:variant>
      <vt:variant>
        <vt:i4>0</vt:i4>
      </vt:variant>
      <vt:variant>
        <vt:i4>5</vt:i4>
      </vt:variant>
      <vt:variant>
        <vt:lpwstr>https://www.iso.org/standard/42546.html</vt:lpwstr>
      </vt:variant>
      <vt:variant>
        <vt:lpwstr/>
      </vt:variant>
      <vt:variant>
        <vt:i4>5439489</vt:i4>
      </vt:variant>
      <vt:variant>
        <vt:i4>168</vt:i4>
      </vt:variant>
      <vt:variant>
        <vt:i4>0</vt:i4>
      </vt:variant>
      <vt:variant>
        <vt:i4>5</vt:i4>
      </vt:variant>
      <vt:variant>
        <vt:lpwstr>https://www.icaew.com/-/media/corporate/files/technical/audit-and-assurance/assurance/tech-release-aaf-01-06.ashx</vt:lpwstr>
      </vt:variant>
      <vt:variant>
        <vt:lpwstr/>
      </vt:variant>
      <vt:variant>
        <vt:i4>2621474</vt:i4>
      </vt:variant>
      <vt:variant>
        <vt:i4>165</vt:i4>
      </vt:variant>
      <vt:variant>
        <vt:i4>0</vt:i4>
      </vt:variant>
      <vt:variant>
        <vt:i4>5</vt:i4>
      </vt:variant>
      <vt:variant>
        <vt:lpwstr>https://www.ifac.org/system/files/downloads/b014-2010-iaasb-handbook-isae-3402.pdf</vt:lpwstr>
      </vt:variant>
      <vt:variant>
        <vt:lpwstr/>
      </vt:variant>
      <vt:variant>
        <vt:i4>7929978</vt:i4>
      </vt:variant>
      <vt:variant>
        <vt:i4>162</vt:i4>
      </vt:variant>
      <vt:variant>
        <vt:i4>0</vt:i4>
      </vt:variant>
      <vt:variant>
        <vt:i4>5</vt:i4>
      </vt:variant>
      <vt:variant>
        <vt:lpwstr>https://www.investeurope.eu/industry-standards/professional-standards/</vt:lpwstr>
      </vt:variant>
      <vt:variant>
        <vt:lpwstr/>
      </vt:variant>
      <vt:variant>
        <vt:i4>3473464</vt:i4>
      </vt:variant>
      <vt:variant>
        <vt:i4>159</vt:i4>
      </vt:variant>
      <vt:variant>
        <vt:i4>0</vt:i4>
      </vt:variant>
      <vt:variant>
        <vt:i4>5</vt:i4>
      </vt:variant>
      <vt:variant>
        <vt:lpwstr>https://www.aicpa.org/interestareas/frc/assuranceadvisoryservices/sorhome.html</vt:lpwstr>
      </vt:variant>
      <vt:variant>
        <vt:lpwstr/>
      </vt:variant>
      <vt:variant>
        <vt:i4>393312</vt:i4>
      </vt:variant>
      <vt:variant>
        <vt:i4>156</vt:i4>
      </vt:variant>
      <vt:variant>
        <vt:i4>0</vt:i4>
      </vt:variant>
      <vt:variant>
        <vt:i4>5</vt:i4>
      </vt:variant>
      <vt:variant>
        <vt:lpwstr>https://www.ifc.org/wps/wcm/connect/topics_ext_content/ifc_external_corporate_site/sustainability-at-ifc/policies-standards/performance-standards</vt:lpwstr>
      </vt:variant>
      <vt:variant>
        <vt:lpwstr/>
      </vt:variant>
      <vt:variant>
        <vt:i4>393217</vt:i4>
      </vt:variant>
      <vt:variant>
        <vt:i4>153</vt:i4>
      </vt:variant>
      <vt:variant>
        <vt:i4>0</vt:i4>
      </vt:variant>
      <vt:variant>
        <vt:i4>5</vt:i4>
      </vt:variant>
      <vt:variant>
        <vt:lpwstr>https://www.ungpreporting.org/wp-content/uploads/UNGPRF_AssuranceGuidance_AMexternalassurance.pdf</vt:lpwstr>
      </vt:variant>
      <vt:variant>
        <vt:lpwstr/>
      </vt:variant>
      <vt:variant>
        <vt:i4>3539060</vt:i4>
      </vt:variant>
      <vt:variant>
        <vt:i4>150</vt:i4>
      </vt:variant>
      <vt:variant>
        <vt:i4>0</vt:i4>
      </vt:variant>
      <vt:variant>
        <vt:i4>5</vt:i4>
      </vt:variant>
      <vt:variant>
        <vt:lpwstr>https://www.accountability.org/standards/aa1000-assurance-standard/</vt:lpwstr>
      </vt:variant>
      <vt:variant>
        <vt:lpwstr/>
      </vt:variant>
      <vt:variant>
        <vt:i4>4718680</vt:i4>
      </vt:variant>
      <vt:variant>
        <vt:i4>147</vt:i4>
      </vt:variant>
      <vt:variant>
        <vt:i4>0</vt:i4>
      </vt:variant>
      <vt:variant>
        <vt:i4>5</vt:i4>
      </vt:variant>
      <vt:variant>
        <vt:lpwstr>https://www.idw.de/idw/verlautbarungen/idw-ass-821---aufgehoben-durch-den-hfa-am-27-05-2020/43232</vt:lpwstr>
      </vt:variant>
      <vt:variant>
        <vt:lpwstr/>
      </vt:variant>
      <vt:variant>
        <vt:i4>6160463</vt:i4>
      </vt:variant>
      <vt:variant>
        <vt:i4>144</vt:i4>
      </vt:variant>
      <vt:variant>
        <vt:i4>0</vt:i4>
      </vt:variant>
      <vt:variant>
        <vt:i4>5</vt:i4>
      </vt:variant>
      <vt:variant>
        <vt:lpwstr>https://www.faronline.se/dokument/far/revr/revr0006/</vt:lpwstr>
      </vt:variant>
      <vt:variant>
        <vt:lpwstr/>
      </vt:variant>
      <vt:variant>
        <vt:i4>7798844</vt:i4>
      </vt:variant>
      <vt:variant>
        <vt:i4>141</vt:i4>
      </vt:variant>
      <vt:variant>
        <vt:i4>0</vt:i4>
      </vt:variant>
      <vt:variant>
        <vt:i4>5</vt:i4>
      </vt:variant>
      <vt:variant>
        <vt:lpwstr>https://www.nba.nl/tools/hra-2017/?folder=4646</vt:lpwstr>
      </vt:variant>
      <vt:variant>
        <vt:lpwstr/>
      </vt:variant>
      <vt:variant>
        <vt:i4>1704016</vt:i4>
      </vt:variant>
      <vt:variant>
        <vt:i4>138</vt:i4>
      </vt:variant>
      <vt:variant>
        <vt:i4>0</vt:i4>
      </vt:variant>
      <vt:variant>
        <vt:i4>5</vt:i4>
      </vt:variant>
      <vt:variant>
        <vt:lpwstr>https://www.iaasb.org/publications/international-standard-assurance-engagements-isae-3000-revised-assurance-engagements-other-audits-or-0</vt:lpwstr>
      </vt:variant>
      <vt:variant>
        <vt:lpwstr/>
      </vt:variant>
      <vt:variant>
        <vt:i4>4718666</vt:i4>
      </vt:variant>
      <vt:variant>
        <vt:i4>135</vt:i4>
      </vt:variant>
      <vt:variant>
        <vt:i4>0</vt:i4>
      </vt:variant>
      <vt:variant>
        <vt:i4>5</vt:i4>
      </vt:variant>
      <vt:variant>
        <vt:lpwstr>https://www.bsigroup.com/en-GB/pas-7341/</vt:lpwstr>
      </vt:variant>
      <vt:variant>
        <vt:lpwstr/>
      </vt:variant>
      <vt:variant>
        <vt:i4>1048647</vt:i4>
      </vt:variant>
      <vt:variant>
        <vt:i4>132</vt:i4>
      </vt:variant>
      <vt:variant>
        <vt:i4>0</vt:i4>
      </vt:variant>
      <vt:variant>
        <vt:i4>5</vt:i4>
      </vt:variant>
      <vt:variant>
        <vt:lpwstr>https://www.unpri.org/pri/a-blueprint-for-responsible-investment</vt:lpwstr>
      </vt:variant>
      <vt:variant>
        <vt:lpwstr/>
      </vt:variant>
      <vt:variant>
        <vt:i4>7864365</vt:i4>
      </vt:variant>
      <vt:variant>
        <vt:i4>129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5636180</vt:i4>
      </vt:variant>
      <vt:variant>
        <vt:i4>126</vt:i4>
      </vt:variant>
      <vt:variant>
        <vt:i4>0</vt:i4>
      </vt:variant>
      <vt:variant>
        <vt:i4>5</vt:i4>
      </vt:variant>
      <vt:variant>
        <vt:lpwstr>https://www.unpri.org/introducing-confidence-building-measures-to-pri-signatories-reported-data/2954.article</vt:lpwstr>
      </vt:variant>
      <vt:variant>
        <vt:lpwstr/>
      </vt:variant>
      <vt:variant>
        <vt:i4>1048647</vt:i4>
      </vt:variant>
      <vt:variant>
        <vt:i4>123</vt:i4>
      </vt:variant>
      <vt:variant>
        <vt:i4>0</vt:i4>
      </vt:variant>
      <vt:variant>
        <vt:i4>5</vt:i4>
      </vt:variant>
      <vt:variant>
        <vt:lpwstr>https://www.unpri.org/pri/a-blueprint-for-responsible-investment</vt:lpwstr>
      </vt:variant>
      <vt:variant>
        <vt:lpwstr/>
      </vt:variant>
      <vt:variant>
        <vt:i4>917571</vt:i4>
      </vt:variant>
      <vt:variant>
        <vt:i4>120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117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114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111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108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917571</vt:i4>
      </vt:variant>
      <vt:variant>
        <vt:i4>105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7864365</vt:i4>
      </vt:variant>
      <vt:variant>
        <vt:i4>102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5636180</vt:i4>
      </vt:variant>
      <vt:variant>
        <vt:i4>99</vt:i4>
      </vt:variant>
      <vt:variant>
        <vt:i4>0</vt:i4>
      </vt:variant>
      <vt:variant>
        <vt:i4>5</vt:i4>
      </vt:variant>
      <vt:variant>
        <vt:lpwstr>https://www.unpri.org/introducing-confidence-building-measures-to-pri-signatories-reported-data/2954.article</vt:lpwstr>
      </vt:variant>
      <vt:variant>
        <vt:lpwstr/>
      </vt:variant>
      <vt:variant>
        <vt:i4>1048647</vt:i4>
      </vt:variant>
      <vt:variant>
        <vt:i4>96</vt:i4>
      </vt:variant>
      <vt:variant>
        <vt:i4>0</vt:i4>
      </vt:variant>
      <vt:variant>
        <vt:i4>5</vt:i4>
      </vt:variant>
      <vt:variant>
        <vt:lpwstr>https://www.unpri.org/pri/a-blueprint-for-responsible-investment</vt:lpwstr>
      </vt:variant>
      <vt:variant>
        <vt:lpwstr/>
      </vt:variant>
      <vt:variant>
        <vt:i4>7864365</vt:i4>
      </vt:variant>
      <vt:variant>
        <vt:i4>93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7864365</vt:i4>
      </vt:variant>
      <vt:variant>
        <vt:i4>90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7864365</vt:i4>
      </vt:variant>
      <vt:variant>
        <vt:i4>87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917571</vt:i4>
      </vt:variant>
      <vt:variant>
        <vt:i4>84</vt:i4>
      </vt:variant>
      <vt:variant>
        <vt:i4>0</vt:i4>
      </vt:variant>
      <vt:variant>
        <vt:i4>5</vt:i4>
      </vt:variant>
      <vt:variant>
        <vt:lpwstr>https://www.unpri.org/reporting-and-assessment/reporting-framework-glossary/6937.article</vt:lpwstr>
      </vt:variant>
      <vt:variant>
        <vt:lpwstr/>
      </vt:variant>
      <vt:variant>
        <vt:i4>7864365</vt:i4>
      </vt:variant>
      <vt:variant>
        <vt:i4>81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7864365</vt:i4>
      </vt:variant>
      <vt:variant>
        <vt:i4>78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7864365</vt:i4>
      </vt:variant>
      <vt:variant>
        <vt:i4>75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_Toc118464949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_Toc118464948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_Toc118464947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_Toc118464946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_Toc118464945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_Toc118464944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_Toc118464943</vt:lpwstr>
      </vt:variant>
      <vt:variant>
        <vt:i4>1179702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_Toc118464942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_Toc118464941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_Toc118464940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_Toc118464939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_Toc118464938</vt:lpwstr>
      </vt:variant>
      <vt:variant>
        <vt:i4>7864410</vt:i4>
      </vt:variant>
      <vt:variant>
        <vt:i4>6</vt:i4>
      </vt:variant>
      <vt:variant>
        <vt:i4>0</vt:i4>
      </vt:variant>
      <vt:variant>
        <vt:i4>5</vt:i4>
      </vt:variant>
      <vt:variant>
        <vt:lpwstr>mailto:reporting@unpri.org</vt:lpwstr>
      </vt:variant>
      <vt:variant>
        <vt:lpwstr/>
      </vt:variant>
      <vt:variant>
        <vt:i4>7864410</vt:i4>
      </vt:variant>
      <vt:variant>
        <vt:i4>3</vt:i4>
      </vt:variant>
      <vt:variant>
        <vt:i4>0</vt:i4>
      </vt:variant>
      <vt:variant>
        <vt:i4>5</vt:i4>
      </vt:variant>
      <vt:variant>
        <vt:lpwstr>mailto:reporting@unpri.org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Riganelli</dc:creator>
  <cp:keywords/>
  <dc:description/>
  <cp:lastModifiedBy>Giulia Scaminaci</cp:lastModifiedBy>
  <cp:revision>5</cp:revision>
  <cp:lastPrinted>2023-05-11T15:00:00Z</cp:lastPrinted>
  <dcterms:created xsi:type="dcterms:W3CDTF">2023-05-10T18:22:00Z</dcterms:created>
  <dcterms:modified xsi:type="dcterms:W3CDTF">2023-05-11T15:00:00Z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0x010100C0AB7C73F8273E4BAC8C97C539FF78CD</vt:lpwstr>
  </property>
  <property fmtid="{D5CDD505-2E9C-101B-9397-08002B2CF9AE}" pid="3" name="Lastedited">
    <vt:lpwstr/>
  </property>
  <property fmtid="{D5CDD505-2E9C-101B-9397-08002B2CF9AE}" pid="4" name="MediaServiceImageTags">
    <vt:lpwstr/>
  </property>
  <property fmtid="{D5CDD505-2E9C-101B-9397-08002B2CF9AE}" pid="5" name="Order">
    <vt:r8>35500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TemplateUrl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</Properties>
</file>